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A60ED" w14:textId="77777777" w:rsidR="009B40AB" w:rsidRDefault="009B40AB" w:rsidP="009B40AB">
      <w:pPr>
        <w:jc w:val="center"/>
        <w:rPr>
          <w:b/>
          <w:lang w:val="ka-GE"/>
        </w:rPr>
      </w:pPr>
      <w:r>
        <w:rPr>
          <w:b/>
          <w:noProof/>
        </w:rPr>
        <w:drawing>
          <wp:inline distT="0" distB="0" distL="0" distR="0" wp14:anchorId="6940E32C" wp14:editId="79580FB5">
            <wp:extent cx="1161288" cy="9784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D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3B3D" w14:textId="77777777" w:rsidR="009B40AB" w:rsidRDefault="009B40AB" w:rsidP="009B40AB">
      <w:pPr>
        <w:jc w:val="center"/>
        <w:rPr>
          <w:b/>
          <w:lang w:val="ka-GE"/>
        </w:rPr>
      </w:pPr>
    </w:p>
    <w:p w14:paraId="38BE7684" w14:textId="77777777" w:rsidR="00CA7647" w:rsidRPr="0097353F" w:rsidRDefault="00BE4B98" w:rsidP="0097353F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7353F">
        <w:rPr>
          <w:rFonts w:ascii="Sylfaen" w:hAnsi="Sylfaen"/>
          <w:b/>
          <w:sz w:val="28"/>
          <w:szCs w:val="28"/>
          <w:lang w:val="ka-GE"/>
        </w:rPr>
        <w:t>კორონა ვირუსზე პჯრ ტესტირებისთვის გაერთიანებული ნიმუშების</w:t>
      </w:r>
      <w:r w:rsidR="00656816" w:rsidRPr="0097353F">
        <w:rPr>
          <w:rFonts w:ascii="Sylfaen" w:hAnsi="Sylfaen"/>
          <w:b/>
          <w:sz w:val="28"/>
          <w:szCs w:val="28"/>
        </w:rPr>
        <w:t>(Pool)</w:t>
      </w:r>
      <w:r w:rsidRPr="0097353F">
        <w:rPr>
          <w:rFonts w:ascii="Sylfaen" w:hAnsi="Sylfaen"/>
          <w:b/>
          <w:sz w:val="28"/>
          <w:szCs w:val="28"/>
          <w:lang w:val="ka-GE"/>
        </w:rPr>
        <w:t xml:space="preserve">  ტესტირების პროტოკოლი</w:t>
      </w:r>
    </w:p>
    <w:p w14:paraId="7DD57A3E" w14:textId="77777777" w:rsidR="00656816" w:rsidRPr="0097353F" w:rsidRDefault="00656816" w:rsidP="0097353F">
      <w:pPr>
        <w:jc w:val="both"/>
        <w:rPr>
          <w:rFonts w:ascii="Sylfaen" w:hAnsi="Sylfaen"/>
          <w:sz w:val="24"/>
          <w:szCs w:val="24"/>
          <w:lang w:val="ka-GE"/>
        </w:rPr>
      </w:pPr>
    </w:p>
    <w:p w14:paraId="01BFA9FE" w14:textId="77777777" w:rsidR="00840758" w:rsidRPr="0097353F" w:rsidRDefault="00840758" w:rsidP="0097353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7353F">
        <w:rPr>
          <w:rFonts w:ascii="Sylfaen" w:hAnsi="Sylfaen"/>
          <w:b/>
          <w:sz w:val="24"/>
          <w:szCs w:val="24"/>
          <w:lang w:val="ka-GE"/>
        </w:rPr>
        <w:t>შესავალი და მიზანი:</w:t>
      </w:r>
    </w:p>
    <w:p w14:paraId="30E9265A" w14:textId="7091BB1E" w:rsidR="00656816" w:rsidRPr="0097353F" w:rsidRDefault="00656816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პანდემიის პირობებში საკვლევი ნიმუშების რაოდენობის ზრდა </w:t>
      </w:r>
      <w:r w:rsidR="0097353F" w:rsidRPr="0097353F">
        <w:rPr>
          <w:rFonts w:ascii="Sylfaen" w:hAnsi="Sylfaen"/>
          <w:sz w:val="24"/>
          <w:szCs w:val="24"/>
          <w:lang w:val="ka-GE"/>
        </w:rPr>
        <w:t>შესაძლოა</w:t>
      </w:r>
      <w:r w:rsidR="0097353F">
        <w:rPr>
          <w:rFonts w:ascii="Sylfaen" w:hAnsi="Sylfaen"/>
          <w:sz w:val="24"/>
          <w:szCs w:val="24"/>
          <w:lang w:val="ka-GE"/>
        </w:rPr>
        <w:t xml:space="preserve"> </w:t>
      </w:r>
      <w:r w:rsidRPr="0097353F">
        <w:rPr>
          <w:rFonts w:ascii="Sylfaen" w:hAnsi="Sylfaen"/>
          <w:sz w:val="24"/>
          <w:szCs w:val="24"/>
          <w:lang w:val="ka-GE"/>
        </w:rPr>
        <w:t>დიდ ტვირთად  დააწვეს</w:t>
      </w:r>
      <w:r w:rsidR="0097353F">
        <w:rPr>
          <w:rFonts w:ascii="Sylfaen" w:hAnsi="Sylfaen"/>
          <w:sz w:val="24"/>
          <w:szCs w:val="24"/>
          <w:lang w:val="ka-GE"/>
        </w:rPr>
        <w:t xml:space="preserve">, </w:t>
      </w:r>
      <w:r w:rsidRPr="0097353F">
        <w:rPr>
          <w:rFonts w:ascii="Sylfaen" w:hAnsi="Sylfaen"/>
          <w:sz w:val="24"/>
          <w:szCs w:val="24"/>
          <w:lang w:val="ka-GE"/>
        </w:rPr>
        <w:t xml:space="preserve">როგორც სახელმწიფოს, ასევე თითოეული ლაბორატორიის ადამიანურ და მატერუალურ რესურსებს. დიდი დანახარჯების და ასევე დაგვიანებული კვლევის პასუხების თავიდან აცილების მიზნით გადაწყვეტილი </w:t>
      </w:r>
      <w:r w:rsidR="0097353F">
        <w:rPr>
          <w:rFonts w:ascii="Sylfaen" w:hAnsi="Sylfaen"/>
          <w:sz w:val="24"/>
          <w:szCs w:val="24"/>
          <w:lang w:val="ka-GE"/>
        </w:rPr>
        <w:t>იქნ</w:t>
      </w:r>
      <w:r w:rsidRPr="0097353F">
        <w:rPr>
          <w:rFonts w:ascii="Sylfaen" w:hAnsi="Sylfaen"/>
          <w:sz w:val="24"/>
          <w:szCs w:val="24"/>
          <w:lang w:val="ka-GE"/>
        </w:rPr>
        <w:t>ა გაიცეს რეკომენდაცია</w:t>
      </w:r>
      <w:r w:rsidR="000822F9" w:rsidRPr="0097353F">
        <w:rPr>
          <w:rFonts w:ascii="Sylfaen" w:hAnsi="Sylfaen"/>
          <w:sz w:val="24"/>
          <w:szCs w:val="24"/>
          <w:lang w:val="ka-GE"/>
        </w:rPr>
        <w:t xml:space="preserve"> </w:t>
      </w:r>
      <w:r w:rsidR="000822F9" w:rsidRPr="0097353F">
        <w:rPr>
          <w:rFonts w:ascii="Sylfaen" w:hAnsi="Sylfaen"/>
          <w:sz w:val="24"/>
          <w:szCs w:val="24"/>
        </w:rPr>
        <w:t>(</w:t>
      </w:r>
      <w:r w:rsidR="000822F9" w:rsidRPr="0097353F">
        <w:rPr>
          <w:rFonts w:ascii="Sylfaen" w:hAnsi="Sylfaen"/>
          <w:sz w:val="24"/>
          <w:szCs w:val="24"/>
          <w:lang w:val="ka-GE"/>
        </w:rPr>
        <w:t xml:space="preserve">იხ. ქვემოთ მოცემული მითითება) </w:t>
      </w:r>
      <w:r w:rsidRPr="0097353F">
        <w:rPr>
          <w:rFonts w:ascii="Sylfaen" w:hAnsi="Sylfaen"/>
          <w:sz w:val="24"/>
          <w:szCs w:val="24"/>
          <w:lang w:val="ka-GE"/>
        </w:rPr>
        <w:t>კორონა ვირუსზე პჯრ ტესტირებისთვის გაერთიანებული ნიმუშების გამოყენების შესახებ.</w:t>
      </w:r>
    </w:p>
    <w:p w14:paraId="3E6E2620" w14:textId="6316A40B" w:rsidR="00403A64" w:rsidRPr="0097353F" w:rsidRDefault="00656816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ეს პროტოკოლი აღწერს კორონა  ვირუსზე საკვლევი ნიმუშების გაერთიანების წესებს ნუკლეინის მჟავების გამოყოფის ეტაპზე.</w:t>
      </w:r>
      <w:bookmarkStart w:id="0" w:name="_GoBack"/>
      <w:bookmarkEnd w:id="0"/>
    </w:p>
    <w:p w14:paraId="22B97929" w14:textId="2DBE43F3" w:rsidR="009B40AB" w:rsidRPr="0097353F" w:rsidRDefault="009B40AB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b/>
          <w:sz w:val="24"/>
          <w:szCs w:val="24"/>
          <w:lang w:val="ka-GE"/>
        </w:rPr>
        <w:t>ნიმუშების გაერთიანებას არ ექვემდებარება</w:t>
      </w:r>
      <w:r w:rsidRPr="0097353F">
        <w:rPr>
          <w:rFonts w:ascii="Sylfaen" w:hAnsi="Sylfaen"/>
          <w:sz w:val="24"/>
          <w:szCs w:val="24"/>
          <w:lang w:val="ka-GE"/>
        </w:rPr>
        <w:t xml:space="preserve">   საქართველოს მთავრობის </w:t>
      </w:r>
      <w:r w:rsidR="0097353F" w:rsidRPr="0097353F">
        <w:rPr>
          <w:rFonts w:ascii="Sylfaen" w:hAnsi="Sylfaen"/>
          <w:sz w:val="24"/>
          <w:szCs w:val="24"/>
          <w:lang w:val="ka-GE"/>
        </w:rPr>
        <w:t xml:space="preserve"> №975</w:t>
      </w:r>
      <w:r w:rsidR="0097353F">
        <w:rPr>
          <w:rFonts w:ascii="Sylfaen" w:hAnsi="Sylfaen"/>
          <w:sz w:val="24"/>
          <w:szCs w:val="24"/>
          <w:lang w:val="ka-GE"/>
        </w:rPr>
        <w:t xml:space="preserve"> </w:t>
      </w:r>
      <w:r w:rsidRPr="0097353F">
        <w:rPr>
          <w:rFonts w:ascii="Sylfaen" w:hAnsi="Sylfaen"/>
          <w:sz w:val="24"/>
          <w:szCs w:val="24"/>
          <w:lang w:val="ka-GE"/>
        </w:rPr>
        <w:t xml:space="preserve">განკარგულებით </w:t>
      </w:r>
      <w:r w:rsidR="005B3B00" w:rsidRPr="0097353F">
        <w:rPr>
          <w:rFonts w:ascii="Sylfaen" w:hAnsi="Sylfaen"/>
          <w:sz w:val="24"/>
          <w:szCs w:val="24"/>
          <w:lang w:val="ka-GE"/>
        </w:rPr>
        <w:t>დადგ</w:t>
      </w:r>
      <w:r w:rsidRPr="0097353F">
        <w:rPr>
          <w:rFonts w:ascii="Sylfaen" w:hAnsi="Sylfaen"/>
          <w:sz w:val="24"/>
          <w:szCs w:val="24"/>
          <w:lang w:val="ka-GE"/>
        </w:rPr>
        <w:t>ენილი შემდეგი  პირებიდან აღებული საკვლევი მასალა:</w:t>
      </w:r>
    </w:p>
    <w:p w14:paraId="4069E413" w14:textId="77777777" w:rsidR="009B40AB" w:rsidRPr="0097353F" w:rsidRDefault="009B40AB" w:rsidP="0097353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შემთხვევის სტანდარტული განმარტებით მოცული შემთხვევები;</w:t>
      </w:r>
    </w:p>
    <w:p w14:paraId="395F8000" w14:textId="77777777" w:rsidR="009B40AB" w:rsidRPr="0097353F" w:rsidRDefault="009B40AB" w:rsidP="0097353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დადასტურებული შემთხვევების ახლო კონტაქტები;</w:t>
      </w:r>
    </w:p>
    <w:p w14:paraId="1FBE4456" w14:textId="77777777" w:rsidR="009B40AB" w:rsidRPr="0097353F" w:rsidRDefault="009B40AB" w:rsidP="0097353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„იზოლაციისა და კარანტინის წესების დამტკიცების შესახებ“ საქართველოს მთავრობის 2020 წლის 23 მაისის №322 დადგენილების მე-18 მუხლის პირველი პუნქტით დამტკიცებული №1 და №2 დანართებით განსაზღვრულ სამედიცინო დაწესებულებებში მოხვედრილი პაციენტები;</w:t>
      </w:r>
    </w:p>
    <w:p w14:paraId="615063E4" w14:textId="77777777" w:rsidR="009B40AB" w:rsidRPr="0097353F" w:rsidRDefault="009B40AB" w:rsidP="0097353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ნებისმიერ სამედიცინო დაწესებულებაში მოხვედრილი პაციენტი პნევმონიის დიაგნოზით, ან ცხელებით მიმდინარე შემთხვევა, თუ ამავდროულად აღენიშნება რესპირატორული დაავადების ნიშნები, ან ექიმის გადაწყვეტილებით მხოლოდ ცხელების და/ან სხვა საეჭვო კლინიკური ნიშნების მქონე პირები;</w:t>
      </w:r>
    </w:p>
    <w:p w14:paraId="64151B0F" w14:textId="77777777" w:rsidR="009B40AB" w:rsidRPr="0097353F" w:rsidRDefault="009B40AB" w:rsidP="0097353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საქართველოს ოკუპირებული ტერიტორიებიდან დევნილთა, შრომის, ჯანმრთელობისა და სოციალური დაცვის მინისტრის ბრძანებით განსაზღვრულ ამბულატორიულ დაწესებულებებში მოხვედრილი ცხელებით </w:t>
      </w:r>
      <w:r w:rsidRPr="0097353F">
        <w:rPr>
          <w:rFonts w:ascii="Sylfaen" w:hAnsi="Sylfaen"/>
          <w:sz w:val="24"/>
          <w:szCs w:val="24"/>
          <w:lang w:val="ka-GE"/>
        </w:rPr>
        <w:lastRenderedPageBreak/>
        <w:t>მიმდინარე შემთხვევა, თუ ამავდროულად აღენიშნება რესპირატორული დაავადების ნიშნები, ან ექიმის გადაწყვეტილებით მხოლოდ ცხელების და/ან სხვა საეჭვო კლინიკური ნიშნების მქონე პირები;</w:t>
      </w:r>
    </w:p>
    <w:p w14:paraId="00EFB554" w14:textId="1B2809E8" w:rsidR="009B40AB" w:rsidRPr="0097353F" w:rsidRDefault="009B40AB" w:rsidP="003C297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კომერციული სარგებლის მიღების მიზნით ჩატარებული კვლევები</w:t>
      </w:r>
    </w:p>
    <w:p w14:paraId="070C02E7" w14:textId="414A9430" w:rsidR="009B40AB" w:rsidRPr="0097353F" w:rsidRDefault="009B40AB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სხვა ყველა </w:t>
      </w:r>
      <w:r w:rsidR="00403A64" w:rsidRPr="0097353F">
        <w:rPr>
          <w:rFonts w:ascii="Sylfaen" w:hAnsi="Sylfaen"/>
          <w:sz w:val="24"/>
          <w:szCs w:val="24"/>
          <w:lang w:val="ka-GE"/>
        </w:rPr>
        <w:t xml:space="preserve">ნიმუშებისთვის, რომლებიც აღებულია </w:t>
      </w:r>
      <w:r w:rsidRPr="0097353F">
        <w:rPr>
          <w:rFonts w:ascii="Sylfaen" w:hAnsi="Sylfaen"/>
          <w:sz w:val="24"/>
          <w:szCs w:val="24"/>
          <w:lang w:val="ka-GE"/>
        </w:rPr>
        <w:t xml:space="preserve">საქართველოს მთავრობის  </w:t>
      </w:r>
      <w:r w:rsidR="0097353F" w:rsidRPr="0097353F">
        <w:rPr>
          <w:rFonts w:ascii="Sylfaen" w:hAnsi="Sylfaen"/>
          <w:sz w:val="24"/>
          <w:szCs w:val="24"/>
          <w:lang w:val="ka-GE"/>
        </w:rPr>
        <w:t>№975</w:t>
      </w:r>
      <w:r w:rsidR="0097353F">
        <w:rPr>
          <w:rFonts w:ascii="Sylfaen" w:hAnsi="Sylfaen"/>
          <w:sz w:val="24"/>
          <w:szCs w:val="24"/>
          <w:lang w:val="ka-GE"/>
        </w:rPr>
        <w:t xml:space="preserve"> განკარგულებ</w:t>
      </w:r>
      <w:r w:rsidRPr="0097353F">
        <w:rPr>
          <w:rFonts w:ascii="Sylfaen" w:hAnsi="Sylfaen"/>
          <w:sz w:val="24"/>
          <w:szCs w:val="24"/>
          <w:lang w:val="ka-GE"/>
        </w:rPr>
        <w:t xml:space="preserve">ით განსაზღვრული </w:t>
      </w:r>
      <w:r w:rsidR="00403A64" w:rsidRPr="0097353F">
        <w:rPr>
          <w:rFonts w:ascii="Sylfaen" w:hAnsi="Sylfaen"/>
          <w:sz w:val="24"/>
          <w:szCs w:val="24"/>
          <w:lang w:val="ka-GE"/>
        </w:rPr>
        <w:t xml:space="preserve">სავალდებულო ტესტირებას დაქვემდებარებულ პრიორიტეტულ პირთაგან, </w:t>
      </w:r>
      <w:r w:rsidR="000822F9" w:rsidRPr="0097353F">
        <w:rPr>
          <w:rFonts w:ascii="Sylfaen" w:hAnsi="Sylfaen"/>
          <w:sz w:val="24"/>
          <w:szCs w:val="24"/>
          <w:lang w:val="ka-GE"/>
        </w:rPr>
        <w:t>სავალდებულოა</w:t>
      </w:r>
      <w:r w:rsidR="00403A64" w:rsidRPr="0097353F">
        <w:rPr>
          <w:rFonts w:ascii="Sylfaen" w:hAnsi="Sylfaen"/>
          <w:sz w:val="24"/>
          <w:szCs w:val="24"/>
          <w:lang w:val="ka-GE"/>
        </w:rPr>
        <w:t xml:space="preserve"> გაერთიანებული ნიმუშების ტესტირების პროტოკოლი</w:t>
      </w:r>
      <w:r w:rsidR="005B3B00" w:rsidRPr="0097353F">
        <w:rPr>
          <w:rFonts w:ascii="Sylfaen" w:hAnsi="Sylfaen"/>
          <w:sz w:val="24"/>
          <w:szCs w:val="24"/>
          <w:lang w:val="ka-GE"/>
        </w:rPr>
        <w:t>ს გამოყენება</w:t>
      </w:r>
      <w:r w:rsidR="00403A64" w:rsidRPr="0097353F">
        <w:rPr>
          <w:rFonts w:ascii="Sylfaen" w:hAnsi="Sylfaen"/>
          <w:sz w:val="24"/>
          <w:szCs w:val="24"/>
          <w:lang w:val="ka-GE"/>
        </w:rPr>
        <w:t>.</w:t>
      </w:r>
    </w:p>
    <w:p w14:paraId="6634139D" w14:textId="6523C16A" w:rsidR="00656816" w:rsidRPr="0097353F" w:rsidRDefault="00403A64" w:rsidP="0097353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თითოეული ლაბორატორია ვალდებულია შეიმუშაოს ნიმუშების გაერთიანების პროტოკოლი ლაბორატორიაში გამოყენებული ექტრაქციის ნაკრების </w:t>
      </w:r>
      <w:r w:rsidR="005B3B00" w:rsidRPr="0097353F">
        <w:rPr>
          <w:rFonts w:ascii="Sylfaen" w:hAnsi="Sylfaen"/>
          <w:sz w:val="24"/>
          <w:szCs w:val="24"/>
          <w:lang w:val="ka-GE"/>
        </w:rPr>
        <w:t>ინსტრუქცასთან შესაბამისობაში</w:t>
      </w:r>
      <w:r w:rsidRPr="0097353F">
        <w:rPr>
          <w:rFonts w:ascii="Sylfaen" w:hAnsi="Sylfaen"/>
          <w:sz w:val="24"/>
          <w:szCs w:val="24"/>
          <w:lang w:val="ka-GE"/>
        </w:rPr>
        <w:t xml:space="preserve"> და ჩაატაროს მეთოდის ვერიფიკაციის პროცედურა.</w:t>
      </w:r>
    </w:p>
    <w:p w14:paraId="76E148EC" w14:textId="77777777" w:rsidR="00656816" w:rsidRPr="0097353F" w:rsidRDefault="00656816" w:rsidP="0097353F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97353F">
        <w:rPr>
          <w:rFonts w:ascii="Sylfaen" w:hAnsi="Sylfaen"/>
          <w:b/>
          <w:sz w:val="24"/>
          <w:szCs w:val="24"/>
          <w:lang w:val="ka-GE"/>
        </w:rPr>
        <w:t>ნიმუშების გაერთიანების  (Pool-ირება)  პრინციპი:</w:t>
      </w:r>
    </w:p>
    <w:p w14:paraId="3BB76C3D" w14:textId="77777777" w:rsidR="00B75C72" w:rsidRPr="0097353F" w:rsidRDefault="00B75C72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ნიმუშების გაერთიანება უნდა მოხდეს ნუკლეინის მჟავების გამოყოფის ეტაპზე. </w:t>
      </w:r>
    </w:p>
    <w:p w14:paraId="06C02639" w14:textId="77777777" w:rsidR="00656816" w:rsidRPr="0097353F" w:rsidRDefault="00B75C72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თითოეული </w:t>
      </w:r>
      <w:r w:rsidRPr="0097353F">
        <w:rPr>
          <w:rFonts w:ascii="Sylfaen" w:hAnsi="Sylfaen"/>
          <w:sz w:val="24"/>
          <w:szCs w:val="24"/>
        </w:rPr>
        <w:t>Pool</w:t>
      </w:r>
      <w:r w:rsidRPr="0097353F">
        <w:rPr>
          <w:rFonts w:ascii="Sylfaen" w:hAnsi="Sylfaen"/>
          <w:sz w:val="24"/>
          <w:szCs w:val="24"/>
          <w:lang w:val="ka-GE"/>
        </w:rPr>
        <w:t>-ი უნდა შეიცავდეს 4 ნიმუშს</w:t>
      </w:r>
    </w:p>
    <w:p w14:paraId="148705D1" w14:textId="77777777" w:rsidR="00B75C72" w:rsidRPr="0097353F" w:rsidRDefault="00B75C72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თითოეული ნიმუში</w:t>
      </w:r>
      <w:r w:rsidR="00403A64" w:rsidRPr="0097353F">
        <w:rPr>
          <w:rFonts w:ascii="Sylfaen" w:hAnsi="Sylfaen"/>
          <w:sz w:val="24"/>
          <w:szCs w:val="24"/>
          <w:lang w:val="ka-GE"/>
        </w:rPr>
        <w:t xml:space="preserve">ს მოცულობა </w:t>
      </w:r>
      <w:r w:rsidRPr="0097353F">
        <w:rPr>
          <w:rFonts w:ascii="Sylfaen" w:hAnsi="Sylfaen"/>
          <w:sz w:val="24"/>
          <w:szCs w:val="24"/>
          <w:lang w:val="ka-GE"/>
        </w:rPr>
        <w:t xml:space="preserve"> ლიზის ბუფერში უნდა </w:t>
      </w:r>
      <w:r w:rsidR="00403A64" w:rsidRPr="0097353F">
        <w:rPr>
          <w:rFonts w:ascii="Sylfaen" w:hAnsi="Sylfaen"/>
          <w:sz w:val="24"/>
          <w:szCs w:val="24"/>
          <w:lang w:val="ka-GE"/>
        </w:rPr>
        <w:t>შეადგენდეს</w:t>
      </w:r>
      <w:r w:rsidRPr="0097353F">
        <w:rPr>
          <w:rFonts w:ascii="Sylfaen" w:hAnsi="Sylfaen"/>
          <w:sz w:val="24"/>
          <w:szCs w:val="24"/>
          <w:lang w:val="ka-GE"/>
        </w:rPr>
        <w:t xml:space="preserve"> პროტოკოლის მიხედვით განსაზღვრული საწყისი ნიმუშის </w:t>
      </w:r>
      <w:r w:rsidR="00403A64" w:rsidRPr="0097353F">
        <w:rPr>
          <w:rFonts w:ascii="Sylfaen" w:hAnsi="Sylfaen"/>
          <w:sz w:val="24"/>
          <w:szCs w:val="24"/>
          <w:lang w:val="ka-GE"/>
        </w:rPr>
        <w:t>მეოთხედს</w:t>
      </w:r>
      <w:r w:rsidRPr="0097353F">
        <w:rPr>
          <w:rFonts w:ascii="Sylfaen" w:hAnsi="Sylfaen"/>
          <w:sz w:val="24"/>
          <w:szCs w:val="24"/>
          <w:lang w:val="ka-GE"/>
        </w:rPr>
        <w:t>. მაგ თუ პროტოკოლის მიხედვით ლიზის ბუფერში უნდა შევიტანოთ 140</w:t>
      </w:r>
      <w:r w:rsidRPr="0097353F">
        <w:rPr>
          <w:rFonts w:ascii="Sylfaen" w:hAnsi="Sylfaen" w:cstheme="minorHAnsi"/>
          <w:sz w:val="24"/>
          <w:szCs w:val="24"/>
          <w:lang w:val="ka-GE"/>
        </w:rPr>
        <w:t>µ</w:t>
      </w:r>
      <w:r w:rsidRPr="0097353F">
        <w:rPr>
          <w:rFonts w:ascii="Sylfaen" w:hAnsi="Sylfaen" w:cstheme="minorHAnsi"/>
          <w:sz w:val="24"/>
          <w:szCs w:val="24"/>
        </w:rPr>
        <w:t>l</w:t>
      </w:r>
      <w:r w:rsidRPr="0097353F">
        <w:rPr>
          <w:rFonts w:ascii="Sylfaen" w:hAnsi="Sylfaen" w:cstheme="minorHAnsi"/>
          <w:sz w:val="24"/>
          <w:szCs w:val="24"/>
          <w:lang w:val="ka-GE"/>
        </w:rPr>
        <w:t xml:space="preserve"> ნიმუში, ნიმუშების გაერთიანების შემთხვევაში თითოეული ნიმუშის მოცულობა იქნება </w:t>
      </w:r>
      <w:r w:rsidRPr="0097353F">
        <w:rPr>
          <w:rFonts w:ascii="Sylfaen" w:hAnsi="Sylfaen"/>
          <w:sz w:val="24"/>
          <w:szCs w:val="24"/>
          <w:lang w:val="ka-GE"/>
        </w:rPr>
        <w:t xml:space="preserve"> 35</w:t>
      </w:r>
      <w:r w:rsidRPr="0097353F">
        <w:rPr>
          <w:rFonts w:ascii="Sylfaen" w:hAnsi="Sylfaen"/>
          <w:sz w:val="24"/>
          <w:szCs w:val="24"/>
        </w:rPr>
        <w:t xml:space="preserve"> </w:t>
      </w:r>
      <w:r w:rsidRPr="0097353F">
        <w:rPr>
          <w:rFonts w:ascii="Sylfaen" w:hAnsi="Sylfaen"/>
          <w:sz w:val="24"/>
          <w:szCs w:val="24"/>
          <w:lang w:val="ka-GE"/>
        </w:rPr>
        <w:t xml:space="preserve">µl. </w:t>
      </w:r>
    </w:p>
    <w:p w14:paraId="1AF6E3BE" w14:textId="77777777" w:rsidR="00B75C72" w:rsidRPr="0097353F" w:rsidRDefault="00B75C72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დადებითი </w:t>
      </w:r>
      <w:r w:rsidR="005B3B00" w:rsidRPr="0097353F">
        <w:rPr>
          <w:rFonts w:ascii="Sylfaen" w:hAnsi="Sylfaen"/>
          <w:sz w:val="24"/>
          <w:szCs w:val="24"/>
          <w:lang w:val="ka-GE"/>
        </w:rPr>
        <w:t>ან</w:t>
      </w:r>
      <w:r w:rsidRPr="0097353F">
        <w:rPr>
          <w:rFonts w:ascii="Sylfaen" w:hAnsi="Sylfaen"/>
          <w:sz w:val="24"/>
          <w:szCs w:val="24"/>
          <w:lang w:val="ka-GE"/>
        </w:rPr>
        <w:t xml:space="preserve"> საეჭვო შედეგის მიღების შემთხვევაში აუცილებელია გაერთიანებული ნიმუშების ინდივიდუალური ტესტირება ექტრაქციის ეტაპიდან</w:t>
      </w:r>
      <w:r w:rsidR="009B40AB" w:rsidRPr="0097353F">
        <w:rPr>
          <w:rFonts w:ascii="Sylfaen" w:hAnsi="Sylfaen"/>
          <w:sz w:val="24"/>
          <w:szCs w:val="24"/>
          <w:lang w:val="ka-GE"/>
        </w:rPr>
        <w:t>.</w:t>
      </w:r>
      <w:r w:rsidRPr="0097353F">
        <w:rPr>
          <w:rFonts w:ascii="Sylfaen" w:hAnsi="Sylfaen"/>
          <w:sz w:val="24"/>
          <w:szCs w:val="24"/>
          <w:lang w:val="ka-GE"/>
        </w:rPr>
        <w:t xml:space="preserve"> </w:t>
      </w:r>
    </w:p>
    <w:p w14:paraId="0C8BA813" w14:textId="77777777" w:rsidR="00403A64" w:rsidRPr="0097353F" w:rsidRDefault="00403A64" w:rsidP="0097353F">
      <w:pPr>
        <w:jc w:val="both"/>
        <w:rPr>
          <w:rFonts w:ascii="Sylfaen" w:hAnsi="Sylfaen"/>
          <w:sz w:val="24"/>
          <w:szCs w:val="24"/>
          <w:lang w:val="ka-GE"/>
        </w:rPr>
      </w:pPr>
    </w:p>
    <w:p w14:paraId="64BB8F48" w14:textId="77777777" w:rsidR="00403A64" w:rsidRPr="0097353F" w:rsidRDefault="008C55C6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მითითებები:</w:t>
      </w:r>
    </w:p>
    <w:p w14:paraId="0A74A7B5" w14:textId="77777777" w:rsidR="008C55C6" w:rsidRPr="0097353F" w:rsidRDefault="002E051A" w:rsidP="0097353F">
      <w:pPr>
        <w:jc w:val="both"/>
        <w:rPr>
          <w:rFonts w:ascii="Sylfaen" w:hAnsi="Sylfaen"/>
          <w:sz w:val="24"/>
          <w:szCs w:val="24"/>
          <w:lang w:val="ka-GE"/>
        </w:rPr>
      </w:pPr>
      <w:hyperlink r:id="rId6" w:history="1">
        <w:r w:rsidR="008C55C6" w:rsidRPr="0097353F">
          <w:rPr>
            <w:rStyle w:val="Hyperlink"/>
            <w:rFonts w:ascii="Sylfaen" w:hAnsi="Sylfaen"/>
            <w:sz w:val="24"/>
            <w:szCs w:val="24"/>
            <w:lang w:val="ka-GE"/>
          </w:rPr>
          <w:t>https://www.fda.gov/news-events/press-announcements/coronavirus-covid-19-update-fda-issues-first-emergency-authorization-sample-pooling-diagnostic</w:t>
        </w:r>
      </w:hyperlink>
    </w:p>
    <w:p w14:paraId="38528978" w14:textId="77777777" w:rsidR="008C55C6" w:rsidRPr="0097353F" w:rsidRDefault="008C55C6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>https://www.cdc.gov/coronavirus/2019-ncov/lab/pooling-procedures.html</w:t>
      </w:r>
    </w:p>
    <w:p w14:paraId="51709BB5" w14:textId="77777777" w:rsidR="00B75C72" w:rsidRPr="0097353F" w:rsidRDefault="00CE1329" w:rsidP="0097353F">
      <w:pPr>
        <w:jc w:val="both"/>
        <w:rPr>
          <w:rFonts w:ascii="Sylfaen" w:hAnsi="Sylfaen"/>
          <w:sz w:val="24"/>
          <w:szCs w:val="24"/>
          <w:lang w:val="ka-GE"/>
        </w:rPr>
      </w:pPr>
      <w:r w:rsidRPr="0097353F">
        <w:rPr>
          <w:rFonts w:ascii="Sylfaen" w:hAnsi="Sylfaen"/>
          <w:sz w:val="24"/>
          <w:szCs w:val="24"/>
          <w:lang w:val="ka-GE"/>
        </w:rPr>
        <w:t xml:space="preserve"> </w:t>
      </w:r>
    </w:p>
    <w:p w14:paraId="681243CC" w14:textId="77777777" w:rsidR="00B75C72" w:rsidRPr="0097353F" w:rsidRDefault="00B75C72" w:rsidP="0097353F">
      <w:pPr>
        <w:jc w:val="both"/>
        <w:rPr>
          <w:rFonts w:ascii="Sylfaen" w:hAnsi="Sylfaen"/>
          <w:sz w:val="24"/>
          <w:szCs w:val="24"/>
          <w:lang w:val="ka-GE"/>
        </w:rPr>
      </w:pPr>
    </w:p>
    <w:p w14:paraId="1FBFC92B" w14:textId="77777777" w:rsidR="00656816" w:rsidRPr="0097353F" w:rsidRDefault="00656816" w:rsidP="0097353F">
      <w:pPr>
        <w:jc w:val="both"/>
        <w:rPr>
          <w:rFonts w:ascii="Sylfaen" w:hAnsi="Sylfaen"/>
          <w:sz w:val="24"/>
          <w:szCs w:val="24"/>
          <w:lang w:val="ka-GE"/>
        </w:rPr>
      </w:pPr>
    </w:p>
    <w:p w14:paraId="49735997" w14:textId="77777777" w:rsidR="00656816" w:rsidRPr="0097353F" w:rsidRDefault="00656816" w:rsidP="0097353F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656816" w:rsidRPr="00973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7001F"/>
    <w:multiLevelType w:val="hybridMultilevel"/>
    <w:tmpl w:val="821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98"/>
    <w:rsid w:val="0003387E"/>
    <w:rsid w:val="000822F9"/>
    <w:rsid w:val="001540DB"/>
    <w:rsid w:val="002E051A"/>
    <w:rsid w:val="00403A64"/>
    <w:rsid w:val="005B3B00"/>
    <w:rsid w:val="00656816"/>
    <w:rsid w:val="00840758"/>
    <w:rsid w:val="00884A26"/>
    <w:rsid w:val="008C55C6"/>
    <w:rsid w:val="00925058"/>
    <w:rsid w:val="0097353F"/>
    <w:rsid w:val="009B40AB"/>
    <w:rsid w:val="00AC0B88"/>
    <w:rsid w:val="00B75C72"/>
    <w:rsid w:val="00BE4B98"/>
    <w:rsid w:val="00CA7647"/>
    <w:rsid w:val="00CE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6A5E"/>
  <w15:chartTrackingRefBased/>
  <w15:docId w15:val="{0762772C-4078-4DAD-8DE7-018EF640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5C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4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A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da.gov/news-events/press-announcements/coronavirus-covid-19-update-fda-issues-first-emergency-authorization-sample-pooling-diagnost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004</dc:creator>
  <cp:keywords/>
  <dc:description/>
  <cp:lastModifiedBy>Khatuna Piranishvili</cp:lastModifiedBy>
  <cp:revision>4</cp:revision>
  <dcterms:created xsi:type="dcterms:W3CDTF">2020-08-27T16:02:00Z</dcterms:created>
  <dcterms:modified xsi:type="dcterms:W3CDTF">2020-08-31T10:35:00Z</dcterms:modified>
</cp:coreProperties>
</file>