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C8" w:rsidRPr="00BA13A0" w:rsidRDefault="00BA13A0">
      <w:pPr>
        <w:rPr>
          <w:rFonts w:ascii="Sylfaen" w:hAnsi="Sylfaen"/>
          <w:b/>
          <w:color w:val="808080" w:themeColor="background1" w:themeShade="80"/>
          <w:sz w:val="28"/>
          <w:lang w:val="ka-GE"/>
        </w:rPr>
      </w:pPr>
      <w:r w:rsidRPr="00BA13A0">
        <w:rPr>
          <w:rFonts w:ascii="Sylfaen" w:hAnsi="Sylfaen" w:cs="Sylfaen"/>
          <w:b/>
          <w:spacing w:val="-1"/>
          <w:position w:val="1"/>
          <w:sz w:val="28"/>
          <w:lang w:val="ka-GE" w:eastAsia="en-US"/>
        </w:rPr>
        <w:t>დაავადებათა ადრეული გამოვლენა და სკრინინგი</w:t>
      </w:r>
    </w:p>
    <w:p w:rsidR="002E2637" w:rsidRPr="003B392E" w:rsidRDefault="002E2637" w:rsidP="00BA13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/>
          <w:color w:val="808080" w:themeColor="background1" w:themeShade="80"/>
          <w:lang w:val="ka-GE"/>
        </w:rPr>
      </w:pPr>
      <w:r w:rsidRPr="003B392E">
        <w:rPr>
          <w:rFonts w:ascii="Sylfaen" w:eastAsiaTheme="minorHAnsi" w:hAnsi="Sylfaen" w:cs="Sylfaen"/>
          <w:b/>
          <w:color w:val="808080" w:themeColor="background1" w:themeShade="80"/>
          <w:lang w:val="ka-GE"/>
        </w:rPr>
        <w:t xml:space="preserve">რა არის </w:t>
      </w:r>
      <w:r w:rsidR="00612BC8" w:rsidRPr="003B392E">
        <w:rPr>
          <w:rFonts w:ascii="Sylfaen" w:eastAsiaTheme="minorHAnsi" w:hAnsi="Sylfaen" w:cs="Sylfaen"/>
          <w:b/>
          <w:color w:val="808080" w:themeColor="background1" w:themeShade="80"/>
          <w:lang w:val="ka-GE"/>
        </w:rPr>
        <w:t>პროგრამის</w:t>
      </w:r>
      <w:r w:rsidR="00612BC8" w:rsidRPr="003B392E">
        <w:rPr>
          <w:rFonts w:ascii="Sylfaen" w:eastAsiaTheme="minorHAnsi" w:hAnsi="Sylfaen"/>
          <w:b/>
          <w:color w:val="808080" w:themeColor="background1" w:themeShade="80"/>
          <w:lang w:val="ka-GE"/>
        </w:rPr>
        <w:t xml:space="preserve"> მიზანი</w:t>
      </w:r>
      <w:r w:rsidRPr="003B392E">
        <w:rPr>
          <w:rFonts w:ascii="Sylfaen" w:eastAsiaTheme="minorHAnsi" w:hAnsi="Sylfaen"/>
          <w:b/>
          <w:color w:val="808080" w:themeColor="background1" w:themeShade="80"/>
          <w:lang w:val="ka-GE"/>
        </w:rPr>
        <w:t>?</w:t>
      </w:r>
    </w:p>
    <w:p w:rsidR="002E2637" w:rsidRPr="003B392E" w:rsidRDefault="002E2637" w:rsidP="002E2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sz w:val="22"/>
          <w:szCs w:val="22"/>
          <w:lang w:val="ka-GE"/>
        </w:rPr>
      </w:pPr>
    </w:p>
    <w:p w:rsidR="003B392E" w:rsidRPr="003B392E" w:rsidRDefault="00831930" w:rsidP="00831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lang w:val="ka-GE"/>
        </w:rPr>
      </w:pPr>
      <w:r w:rsidRPr="003B392E">
        <w:rPr>
          <w:rFonts w:ascii="Sylfaen" w:eastAsiaTheme="minorHAnsi" w:hAnsi="Sylfaen"/>
          <w:lang w:val="ka-GE"/>
        </w:rPr>
        <w:t>დაავადებათა ადრეული გამოვლენის და სკრინინგის სახელმწიფო პროგრამის მიზანია</w:t>
      </w:r>
      <w:r w:rsidR="00612BC8" w:rsidRPr="003B392E">
        <w:rPr>
          <w:rFonts w:ascii="Sylfaen" w:eastAsiaTheme="minorHAnsi" w:hAnsi="Sylfaen"/>
          <w:lang w:val="ka-GE"/>
        </w:rPr>
        <w:t xml:space="preserve"> დაავადებათა ადრეული გამოვლენა და გავრცელების შეზღუდვა.</w:t>
      </w:r>
      <w:r w:rsidR="00612BC8" w:rsidRPr="003B392E">
        <w:rPr>
          <w:rFonts w:ascii="Sylfaen" w:hAnsi="Sylfaen"/>
          <w:lang w:val="ka-GE"/>
        </w:rPr>
        <w:t xml:space="preserve">  </w:t>
      </w:r>
    </w:p>
    <w:p w:rsidR="003B392E" w:rsidRPr="003B392E" w:rsidRDefault="003B392E" w:rsidP="003B392E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3B392E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რას მოიცავს  დაავადებათა ადრეული გამოვლენის და სკრინინგის სახელმწიფო პროგრამა?</w:t>
      </w:r>
    </w:p>
    <w:p w:rsidR="004D5AC3" w:rsidRPr="003B392E" w:rsidRDefault="00612BC8" w:rsidP="003B3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lang w:val="ka-GE"/>
        </w:rPr>
      </w:pPr>
      <w:r w:rsidRPr="003B392E">
        <w:rPr>
          <w:rFonts w:ascii="Sylfaen" w:hAnsi="Sylfaen"/>
          <w:lang w:val="ka-GE"/>
        </w:rPr>
        <w:t xml:space="preserve"> </w:t>
      </w:r>
      <w:r w:rsidR="004D5AC3" w:rsidRPr="003B392E">
        <w:rPr>
          <w:rFonts w:ascii="Sylfaen" w:hAnsi="Sylfaen" w:cs="Sylfaen"/>
          <w:spacing w:val="-1"/>
          <w:position w:val="1"/>
          <w:lang w:val="ka-GE" w:eastAsia="en-US"/>
        </w:rPr>
        <w:t>პროგრამა მოიცავს:</w:t>
      </w:r>
    </w:p>
    <w:p w:rsidR="001E6359" w:rsidRPr="007B320C" w:rsidRDefault="001E6359" w:rsidP="003B392E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კიბოს სკრინინგს</w:t>
      </w:r>
      <w:r w:rsidR="003B392E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, მათ შორის:</w:t>
      </w:r>
    </w:p>
    <w:p w:rsidR="003B392E" w:rsidRPr="003B392E" w:rsidRDefault="003B392E" w:rsidP="003B392E">
      <w:pPr>
        <w:pStyle w:val="ListParagraph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26003E" w:rsidRPr="007B320C" w:rsidRDefault="0026003E" w:rsidP="003B392E">
      <w:pPr>
        <w:pStyle w:val="ListParagraph"/>
        <w:numPr>
          <w:ilvl w:val="0"/>
          <w:numId w:val="14"/>
        </w:numPr>
        <w:spacing w:line="276" w:lineRule="auto"/>
        <w:ind w:left="426" w:hanging="142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ძუძუს კიბოს სკრინინგ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ს:</w:t>
      </w:r>
    </w:p>
    <w:p w:rsidR="0026003E" w:rsidRPr="003B392E" w:rsidRDefault="00B64738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ძუძუს ხელით გასინჯვა</w:t>
      </w:r>
      <w:r w:rsidR="0026003E"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; </w:t>
      </w:r>
    </w:p>
    <w:p w:rsidR="0026003E" w:rsidRPr="00801538" w:rsidRDefault="0026003E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მამოგრაფიული  გამოკვლევ</w:t>
      </w:r>
      <w:r w:rsid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ა (2 რადიოლოგის მიერ წაკითხვით);</w:t>
      </w:r>
    </w:p>
    <w:p w:rsidR="00801538" w:rsidRPr="003B392E" w:rsidRDefault="00801538" w:rsidP="00801538">
      <w:pPr>
        <w:pStyle w:val="ListParagraph"/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პათოლოგიის გამოვლენის შემთხვევაში</w:t>
      </w:r>
    </w:p>
    <w:p w:rsidR="0026003E" w:rsidRPr="00801538" w:rsidRDefault="0026003E" w:rsidP="00A92E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ექოსკოპიური  გამოკვლევა </w:t>
      </w:r>
      <w:r w:rsidR="00801538" w:rsidRP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და </w:t>
      </w:r>
      <w:r w:rsidR="00D561DA" w:rsidRP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საჭიროების შემთხვევაში ექოსკოპიის კონტროლით ძუძუს წვრილნემსიანი ასპირაციული ბიოფსია;</w:t>
      </w:r>
    </w:p>
    <w:p w:rsidR="00D561DA" w:rsidRPr="00D561DA" w:rsidRDefault="00D561DA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D561D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ბიოფსიური მასალის ციტოლოგიური კვლევა</w:t>
      </w: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.</w:t>
      </w:r>
    </w:p>
    <w:p w:rsidR="00801538" w:rsidRDefault="00801538" w:rsidP="004D5AC3">
      <w:pPr>
        <w:pStyle w:val="ListParagraph"/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4D5AC3" w:rsidRPr="0086697A" w:rsidRDefault="0026003E" w:rsidP="004D5AC3">
      <w:pPr>
        <w:pStyle w:val="ListParagraph"/>
        <w:spacing w:line="276" w:lineRule="auto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ძუძუს კიბოს სკრინინგის რეკომენდებული პერიოდულობა</w:t>
      </w:r>
      <w:r w:rsidRPr="003B392E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-2 წელიწადში ერთხელ</w:t>
      </w:r>
      <w:r w:rsidRPr="0086697A">
        <w:rPr>
          <w:rFonts w:ascii="Sylfaen" w:hAnsi="Sylfaen" w:cs="Sylfaen"/>
          <w:i/>
          <w:spacing w:val="-1"/>
          <w:position w:val="1"/>
          <w:sz w:val="22"/>
          <w:szCs w:val="22"/>
          <w:lang w:val="ka-GE" w:eastAsia="en-US"/>
        </w:rPr>
        <w:t>;</w:t>
      </w:r>
    </w:p>
    <w:p w:rsidR="004D5AC3" w:rsidRPr="003B392E" w:rsidRDefault="004D5AC3" w:rsidP="004D5AC3">
      <w:pPr>
        <w:pStyle w:val="ListParagraph"/>
        <w:spacing w:line="276" w:lineRule="auto"/>
        <w:jc w:val="both"/>
        <w:rPr>
          <w:rFonts w:ascii="Sylfaen" w:hAnsi="Sylfaen" w:cs="Sylfaen"/>
          <w:b/>
          <w:i/>
          <w:spacing w:val="-1"/>
          <w:position w:val="1"/>
          <w:sz w:val="22"/>
          <w:szCs w:val="22"/>
          <w:lang w:val="ka-GE" w:eastAsia="en-US"/>
        </w:rPr>
      </w:pPr>
    </w:p>
    <w:p w:rsidR="0026003E" w:rsidRPr="007B320C" w:rsidRDefault="0026003E" w:rsidP="003B392E">
      <w:pPr>
        <w:pStyle w:val="ListParagraph"/>
        <w:numPr>
          <w:ilvl w:val="0"/>
          <w:numId w:val="14"/>
        </w:numPr>
        <w:spacing w:line="276" w:lineRule="auto"/>
        <w:ind w:left="426" w:hanging="142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საშვილოსნოს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ყელის კიბოს სკრინინგს: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</w:p>
    <w:p w:rsidR="0026003E" w:rsidRPr="003B392E" w:rsidRDefault="0026003E" w:rsidP="0026003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გინეკოლოგის კონსულტაცია, </w:t>
      </w:r>
    </w:p>
    <w:p w:rsidR="0026003E" w:rsidRPr="003B392E" w:rsidRDefault="00D561DA" w:rsidP="0026003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პაპ-ნაცხის აღება და მასალის ციტოლოგიური კვლევა</w:t>
      </w:r>
      <w:r w:rsidR="0026003E"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(PAP–ტესტი)  ბეტესტას მეთოდზე დაყრდნობით; </w:t>
      </w:r>
    </w:p>
    <w:p w:rsidR="0026003E" w:rsidRPr="00D561DA" w:rsidRDefault="00D561DA" w:rsidP="00D561DA">
      <w:pPr>
        <w:pStyle w:val="ListParagraph"/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D561D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პათოლოგიის გამოვლენის </w:t>
      </w:r>
      <w:r w:rsidR="0026003E" w:rsidRPr="00D561D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შემთხვევაში ტარდება:</w:t>
      </w:r>
    </w:p>
    <w:p w:rsidR="0026003E" w:rsidRPr="00D561DA" w:rsidRDefault="00D561DA" w:rsidP="00080DA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D561D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კოლპოსკოპია და საჭიროების შემთხვევაში ბიოფსიური მასალის აღება;</w:t>
      </w:r>
    </w:p>
    <w:p w:rsidR="00D561DA" w:rsidRPr="003B392E" w:rsidRDefault="00D561DA" w:rsidP="00080DA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ბიოფსიური მასალის ჰისტო-მორფოლოგიური კვლევა</w:t>
      </w:r>
    </w:p>
    <w:p w:rsidR="00801538" w:rsidRDefault="00801538" w:rsidP="0026003E">
      <w:pPr>
        <w:pStyle w:val="ListParagraph"/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26003E" w:rsidRPr="003B392E" w:rsidRDefault="0026003E" w:rsidP="0026003E">
      <w:pPr>
        <w:pStyle w:val="ListParagraph"/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საშვილოსნოს ყელის კიბოს სკრინინგის  რეკომენდებული პერიოდულობა - 3 წელიწადში ერთხელ;</w:t>
      </w:r>
    </w:p>
    <w:p w:rsidR="004D5AC3" w:rsidRPr="003B392E" w:rsidRDefault="004D5AC3" w:rsidP="0026003E">
      <w:pPr>
        <w:pStyle w:val="ListParagraph"/>
        <w:spacing w:line="276" w:lineRule="auto"/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</w:p>
    <w:p w:rsidR="0026003E" w:rsidRPr="007B320C" w:rsidRDefault="0026003E" w:rsidP="003B392E">
      <w:pPr>
        <w:pStyle w:val="ListParagraph"/>
        <w:numPr>
          <w:ilvl w:val="0"/>
          <w:numId w:val="14"/>
        </w:numPr>
        <w:spacing w:line="276" w:lineRule="auto"/>
        <w:ind w:left="426" w:hanging="142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კოლორექტალური კიბოს სკრინინგ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ს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:</w:t>
      </w:r>
    </w:p>
    <w:p w:rsidR="007B320C" w:rsidRPr="007B320C" w:rsidRDefault="007B320C" w:rsidP="007B320C">
      <w:pPr>
        <w:pStyle w:val="ListParagraph"/>
        <w:spacing w:line="276" w:lineRule="auto"/>
        <w:ind w:left="426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</w:pPr>
    </w:p>
    <w:p w:rsidR="0026003E" w:rsidRPr="003B392E" w:rsidRDefault="0026003E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ფარულ სისხლდენაზე სპეციალური (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en-US" w:eastAsia="en-US"/>
        </w:rPr>
        <w:t>FOBT</w:t>
      </w:r>
      <w:r w:rsid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="00801538" w:rsidRP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ან უფრო მაღალი სტანდარტის ტესტებით</w:t>
      </w:r>
      <w:r w:rsidRP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ტესტის ჩატარება; </w:t>
      </w:r>
    </w:p>
    <w:p w:rsidR="0026003E" w:rsidRPr="00C54EFB" w:rsidRDefault="006E5CFC" w:rsidP="00C54EFB">
      <w:pPr>
        <w:ind w:left="360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>
        <w:rPr>
          <w:rFonts w:ascii="Sylfaen" w:hAnsi="Sylfaen" w:cs="Sylfaen"/>
          <w:spacing w:val="-1"/>
          <w:position w:val="1"/>
          <w:lang w:val="en-US" w:eastAsia="en-US"/>
        </w:rPr>
        <w:t xml:space="preserve">       </w:t>
      </w:r>
      <w:bookmarkStart w:id="0" w:name="_GoBack"/>
      <w:bookmarkEnd w:id="0"/>
      <w:r w:rsidR="00801538" w:rsidRPr="00801538">
        <w:rPr>
          <w:rFonts w:ascii="Sylfaen" w:hAnsi="Sylfaen" w:cs="Sylfaen"/>
          <w:spacing w:val="-1"/>
          <w:position w:val="1"/>
          <w:lang w:val="ka-GE" w:eastAsia="en-US"/>
        </w:rPr>
        <w:t xml:space="preserve">პათოლოგიის გამოვლენის შემთხვევაში </w:t>
      </w:r>
      <w:r w:rsidR="0026003E" w:rsidRPr="00C54EFB">
        <w:rPr>
          <w:rFonts w:ascii="Sylfaen" w:hAnsi="Sylfaen" w:cs="Sylfaen"/>
          <w:spacing w:val="-1"/>
          <w:position w:val="1"/>
          <w:lang w:val="ka-GE" w:eastAsia="en-US"/>
        </w:rPr>
        <w:t>დამატებით ტარდება:</w:t>
      </w:r>
    </w:p>
    <w:p w:rsidR="0026003E" w:rsidRPr="003B392E" w:rsidRDefault="0026003E" w:rsidP="00C54EFB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კოლონოსკოპიური სკრინინგი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და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="00801538" w:rsidRP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საჭიროების შემთხვევაში ბიოფსიური მასალის აღება</w:t>
      </w:r>
      <w:r w:rsidR="008015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26003E" w:rsidRPr="00C54EFB" w:rsidRDefault="00801538" w:rsidP="00C54EFB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ბიოფსიური მასალის ჰისტო-მორფოლოგიური კვლევა</w:t>
      </w:r>
      <w:r w:rsidR="0026003E"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.</w:t>
      </w:r>
    </w:p>
    <w:p w:rsidR="00801538" w:rsidRDefault="00801538" w:rsidP="001E6359">
      <w:pPr>
        <w:pStyle w:val="ListParagraph"/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1E6359" w:rsidRDefault="0026003E" w:rsidP="001E6359">
      <w:pPr>
        <w:pStyle w:val="ListParagraph"/>
        <w:spacing w:line="276" w:lineRule="auto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en-US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კოლორექტული კიბოს სკრინინგის</w:t>
      </w:r>
      <w:r w:rsidRPr="003B392E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რეკომენდებული </w:t>
      </w: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პერიოდულობა-</w:t>
      </w:r>
      <w:r w:rsidR="001E6359"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2 წელიწადში ერთხელ</w:t>
      </w:r>
      <w:r w:rsidR="001E6359" w:rsidRPr="00C54EFB">
        <w:rPr>
          <w:rFonts w:ascii="Sylfaen" w:hAnsi="Sylfaen" w:cs="Sylfaen"/>
          <w:i/>
          <w:spacing w:val="-1"/>
          <w:position w:val="1"/>
          <w:sz w:val="22"/>
          <w:szCs w:val="22"/>
          <w:lang w:val="ka-GE" w:eastAsia="en-US"/>
        </w:rPr>
        <w:t>;</w:t>
      </w:r>
    </w:p>
    <w:p w:rsidR="00EA4688" w:rsidRPr="007B320C" w:rsidRDefault="00EA4688" w:rsidP="006E5CFC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i/>
          <w:spacing w:val="-1"/>
          <w:position w:val="1"/>
          <w:sz w:val="22"/>
          <w:szCs w:val="22"/>
          <w:lang w:val="ka-GE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lastRenderedPageBreak/>
        <w:t xml:space="preserve">პროსტატის კიბოს </w:t>
      </w:r>
      <w:r w:rsidR="00D64803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მართვა</w:t>
      </w:r>
      <w:r w:rsidR="00C43BC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ს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:</w:t>
      </w:r>
    </w:p>
    <w:p w:rsidR="00EA4688" w:rsidRPr="003B392E" w:rsidRDefault="00EA4688" w:rsidP="00EA4688">
      <w:pPr>
        <w:pStyle w:val="ListParagraph"/>
        <w:ind w:left="284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ka-GE"/>
        </w:rPr>
      </w:pPr>
    </w:p>
    <w:p w:rsidR="00EA4688" w:rsidRPr="007B320C" w:rsidRDefault="00EA4688" w:rsidP="00EA4688">
      <w:pPr>
        <w:pStyle w:val="ListParagraph"/>
        <w:numPr>
          <w:ilvl w:val="0"/>
          <w:numId w:val="3"/>
        </w:numPr>
        <w:ind w:left="851" w:hanging="42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სისხლში  პროსტატის სპეციფიური ანტიგენის გამოკვლევას</w:t>
      </w:r>
      <w:r w:rsidR="007B320C">
        <w:rPr>
          <w:rFonts w:ascii="Sylfaen" w:hAnsi="Sylfaen" w:cs="Sylfaen"/>
          <w:spacing w:val="-1"/>
          <w:position w:val="1"/>
          <w:sz w:val="22"/>
          <w:szCs w:val="22"/>
          <w:lang w:val="en-US"/>
        </w:rPr>
        <w:t xml:space="preserve"> </w:t>
      </w:r>
      <w:r w:rsidR="007B320C" w:rsidRPr="007B320C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 xml:space="preserve">ოჯახის ექიმის ან შესაბამისი სპეციალისტის მიმართვით;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;</w:t>
      </w:r>
    </w:p>
    <w:p w:rsidR="00801538" w:rsidRDefault="00801538" w:rsidP="00EA4688">
      <w:pPr>
        <w:pStyle w:val="ListParagraph"/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/>
        </w:rPr>
      </w:pPr>
    </w:p>
    <w:p w:rsidR="00EA4688" w:rsidRPr="00EA4688" w:rsidRDefault="00EA4688" w:rsidP="00EA4688">
      <w:pPr>
        <w:pStyle w:val="ListParagraph"/>
        <w:spacing w:line="276" w:lineRule="auto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en-US" w:eastAsia="en-US"/>
        </w:rPr>
      </w:pP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 xml:space="preserve"> პროსტატის კიბოს </w:t>
      </w:r>
      <w:r w:rsidR="00801538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 xml:space="preserve">მართვის </w:t>
      </w: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რეკომენდებული პერიოდულობა - ყოველწლიურად;</w:t>
      </w:r>
    </w:p>
    <w:p w:rsidR="001E6359" w:rsidRPr="003B392E" w:rsidRDefault="001E6359" w:rsidP="001E6359">
      <w:pPr>
        <w:pStyle w:val="ListParagraph"/>
        <w:spacing w:line="276" w:lineRule="auto"/>
        <w:jc w:val="both"/>
        <w:rPr>
          <w:rFonts w:ascii="Sylfaen" w:hAnsi="Sylfaen" w:cs="Sylfaen"/>
          <w:b/>
          <w:i/>
          <w:spacing w:val="-1"/>
          <w:position w:val="1"/>
          <w:sz w:val="22"/>
          <w:szCs w:val="22"/>
          <w:lang w:val="ka-GE" w:eastAsia="en-US"/>
        </w:rPr>
      </w:pPr>
    </w:p>
    <w:p w:rsidR="0026003E" w:rsidRPr="0086697A" w:rsidRDefault="00B05ED8" w:rsidP="0086697A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1-დან 6 -წლამდე  ასაკის 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ბავშვთა მენტალური განვითარების მსუბუქი და საშუალო ხარისხის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დარღვევების 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სკრინინგ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სა  და 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პრევენცია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</w:t>
      </w:r>
      <w:r w:rsidR="0086697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,</w:t>
      </w:r>
      <w:r w:rsid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რომელიც მოიცავს</w:t>
      </w:r>
      <w:r w:rsidR="004D5AC3" w:rsidRP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:</w:t>
      </w:r>
    </w:p>
    <w:p w:rsidR="0086697A" w:rsidRPr="003B392E" w:rsidRDefault="0086697A" w:rsidP="0086697A">
      <w:pPr>
        <w:pStyle w:val="ListParagraph"/>
        <w:tabs>
          <w:tab w:val="left" w:pos="360"/>
          <w:tab w:val="left" w:pos="900"/>
          <w:tab w:val="left" w:pos="990"/>
        </w:tabs>
        <w:ind w:left="270" w:right="-310"/>
        <w:rPr>
          <w:rFonts w:ascii="Sylfaen" w:hAnsi="Sylfaen"/>
          <w:sz w:val="22"/>
          <w:szCs w:val="22"/>
          <w:lang w:val="ka-GE"/>
        </w:rPr>
      </w:pPr>
    </w:p>
    <w:p w:rsidR="009C3D79" w:rsidRPr="004B2B1F" w:rsidRDefault="009C3D79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ბენეფიციართა იდენტიფიკაცია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/სკრინინგ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 (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ნევროლოგის მიერ მონაცემთა ანალიზ</w:t>
      </w:r>
      <w:r w:rsid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და შეფასება,  გაღრმავებული დიაგნოსტიკის აუცილებლობის განსაზღვრა</w:t>
      </w:r>
      <w:r w:rsid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B05ED8" w:rsidRPr="004B2B1F" w:rsidRDefault="009C3D79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ნევროლოგის კონსულტაცია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ძილის დარღვევების კვლევა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="00B05ED8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D64803" w:rsidRPr="00D64803" w:rsidRDefault="00E875B2" w:rsidP="00CD68F8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lang w:val="ka-GE"/>
        </w:rPr>
      </w:pP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ბენეფიციართა ნეიროფსიქოლოგიური დიაგნოსტიკა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- ბენეფიციარის მსხვილი და ნატიფი მოტორიკის, ექსპრესიული და რეცეპტული მეტყველების, კომუნიკაციის, შემეცნებითი უნარების, თვითმომსახურების სფეროების შეფასება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ბავშვის სუსტი და ძლიერი მხარეების გამოვლენა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ბავშვის ფსიქიკური განვითარების ასაკობრივ ნორმასთან შესაბამისობის დადგენა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რისკ-ჯგუფებში, საჭიროების შემთხვევაში ბავშვთა ფსიქიატრის კონსულტაცია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ეეგ-კვლევისა და ელექტროფიზიოლოგიური მონაცემების შეფასების აუცილებლობის განსაზღვრა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ს;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</w:p>
    <w:p w:rsidR="00865871" w:rsidRDefault="00D64803" w:rsidP="00CD68F8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ელექტროფიზიოლოგიური კვლევების წარმოება</w:t>
      </w: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და მონაცემთა ანალიზ</w:t>
      </w: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ს.</w:t>
      </w:r>
    </w:p>
    <w:p w:rsidR="00D64803" w:rsidRPr="00D64803" w:rsidRDefault="00D64803" w:rsidP="00D64803">
      <w:pPr>
        <w:pStyle w:val="ListParagraph"/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865871" w:rsidRPr="007B320C" w:rsidRDefault="00865871" w:rsidP="004B2B1F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ეპილეფსიის </w:t>
      </w:r>
      <w:r w:rsidR="00120AD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დიაგნოსტიკ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ა</w:t>
      </w:r>
      <w:r w:rsidR="00120AD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</w:t>
      </w:r>
      <w:r w:rsidR="004F7C2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ა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და 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ზედამხედველობა</w:t>
      </w:r>
      <w:r w:rsidR="00120AD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:</w:t>
      </w:r>
    </w:p>
    <w:p w:rsidR="004B2B1F" w:rsidRPr="007B320C" w:rsidRDefault="004B2B1F" w:rsidP="004B2B1F">
      <w:pPr>
        <w:pStyle w:val="ListParagraph"/>
        <w:ind w:left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</w:p>
    <w:p w:rsidR="00865871" w:rsidRPr="004B2B1F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პაციენტის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 </w:t>
      </w:r>
      <w:r w:rsidR="00E875B2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მონაცემთა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რეგისტრაცია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მონაცემთა დამუშავება და ეპილეფსიის რეგისტრის ბაზაში განთავსება;</w:t>
      </w:r>
      <w:r w:rsidR="00E875B2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="00E875B2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პირველადი სკრინინგი -  ნევროლოგის კონსულტაცია;</w:t>
      </w:r>
    </w:p>
    <w:p w:rsidR="00865871" w:rsidRPr="004B2B1F" w:rsidRDefault="00E875B2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მეორადი (</w:t>
      </w:r>
      <w:r w:rsidR="00865871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ეპილეფტოლოგიურ</w:t>
      </w:r>
      <w:r w:rsidR="00865871"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="00865871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სკრინინგ</w:t>
      </w:r>
      <w:r w:rsidR="00865871"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ი;</w:t>
      </w:r>
    </w:p>
    <w:p w:rsidR="00865871" w:rsidRPr="004B2B1F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საჭიროების შემთხვევაში ეეგ-კვლევა;</w:t>
      </w:r>
    </w:p>
    <w:p w:rsidR="00865871" w:rsidRPr="004B2B1F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საჭიროების შემთხვევაში ნეიროფსიქოლოგიური ტესტირება;</w:t>
      </w:r>
    </w:p>
    <w:p w:rsidR="00865871" w:rsidRPr="00EA4688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ეპილეფტოლოგიურ დასკვნით დიაგნოსტიკა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EA4688" w:rsidRDefault="00EA4688" w:rsidP="00EA4688">
      <w:pPr>
        <w:pStyle w:val="ListParagraph"/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en-US" w:eastAsia="en-US"/>
        </w:rPr>
      </w:pPr>
    </w:p>
    <w:p w:rsidR="00EA4688" w:rsidRPr="007B320C" w:rsidRDefault="00EA4688" w:rsidP="00EA4688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დღენაკლულთა რეტინოპათიის სკრინინგის პილოტს:</w:t>
      </w:r>
    </w:p>
    <w:p w:rsidR="00EA4688" w:rsidRPr="004B2B1F" w:rsidRDefault="00EA4688" w:rsidP="00EA4688">
      <w:pPr>
        <w:pStyle w:val="ListParagraph"/>
        <w:ind w:left="284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დღენაკლული ახალშობილების გამოკვლევას რეტინოპათიის დიაგნოსტირებისათვის, დღენაკლულთა რეტინოპათიის ეროვნული პროტოკოლის მიხედვით</w:t>
      </w: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და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სკრინინგის კრიტერიუმების შესაბამისად;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 ასაკით 34 კვირამდე ან გესტაციური წონით 2001 გრამზე ნაკლები ყველა დღენაკლული ახალშობილი გამოკვლეული უნდა იქნას დღენაკლულთა რეტინოპათიის გამოსარიცხად. გამოკვლევა ტარდება დაბადებიდან 2–4 კვირაში;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ნეონატოლოგის გადაწყვეტილებით, გამოკვლეულ უნდა იქნას 34-36 გესტაციური კვირის (მიუხედავად  წონისა) ის დღენაკლული ახალშობილები, რომელთაც აღენიშნებოდათ დამძიმებული ანამნეზი (სეფსისი, ნეკროზული ენტეროკოლიტი და ა.შ.) ან დასჭირდათ დამატებითი ოქსიგენოთერაპია 48 საათზე დიდხანს. გამოკვლევა ტარდება დაბადებიდან 2–4 კვირაში;</w:t>
      </w:r>
    </w:p>
    <w:p w:rsid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 ასაკით 27 კვირამდე დაბადებული ყველა დღენაკლული ახალშობილი გამოკვლეული უნდა იქნას  30-31 პოსტკონცეპტუალური კვირის ასაკში;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lastRenderedPageBreak/>
        <w:t>გესტაციური ასაკით 27–დან 32 კვირამდე დაბადებულ ყველა დღენაკლულ ახალშობილს, რეტინოპათიის გამოსარიცხად, პირველი გამოკვლევა უნდა ჩაუტარდეს დაბადებიდან მე–4-5 კვირას (28– 35 დღე);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 ასაკით 32 კვირაზე ზემოთ და დაბადებისას წონით &lt;1501 გრამზე ნაკლებ ყველა დღენაკლულ ახალშობილს რეტინოპათიაზე პირველი გამოკვლევა უნდა ჩაუტარდეს დაბადებიდან მე–4–5 კვირას (28 – 35 დღე);</w:t>
      </w:r>
    </w:p>
    <w:p w:rsidR="00EA4688" w:rsidRPr="009677AE" w:rsidRDefault="00EA4688" w:rsidP="00A67B49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სკრინინგი უნდა განხორციელდეს არანაკლებ კვირაში  ერთხელ, როცა:</w:t>
      </w:r>
    </w:p>
    <w:p w:rsidR="00EA4688" w:rsidRPr="009677AE" w:rsidRDefault="00EA4688" w:rsidP="00A67B49">
      <w:pPr>
        <w:pStyle w:val="ListParagraph"/>
        <w:numPr>
          <w:ilvl w:val="0"/>
          <w:numId w:val="3"/>
        </w:numPr>
        <w:ind w:right="65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სისხლძარღვები მთავრდება I ზონაში ან II ზონის უკანა წილში;</w:t>
      </w:r>
    </w:p>
    <w:p w:rsidR="00EA4688" w:rsidRPr="00A67B49" w:rsidRDefault="00EA4688" w:rsidP="00A67B49">
      <w:pPr>
        <w:pStyle w:val="ListParagraph"/>
        <w:numPr>
          <w:ilvl w:val="0"/>
          <w:numId w:val="3"/>
        </w:numPr>
        <w:ind w:right="65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A67B49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როდესაც შეინიშნება პლიუს ან პრე-პლიუს დაავადება;</w:t>
      </w:r>
    </w:p>
    <w:p w:rsidR="00EA4688" w:rsidRPr="00A67B49" w:rsidRDefault="00EA4688" w:rsidP="00A67B49">
      <w:pPr>
        <w:pStyle w:val="ListParagraph"/>
        <w:numPr>
          <w:ilvl w:val="0"/>
          <w:numId w:val="3"/>
        </w:numPr>
        <w:ind w:right="65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A67B49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როდესაც სახეზეა დაავადების მე–3 სტადია ნებისმიერ ზონაში.</w:t>
      </w:r>
    </w:p>
    <w:p w:rsidR="00EA4688" w:rsidRPr="00EA4688" w:rsidRDefault="00EA4688" w:rsidP="009677AE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 w:rsidRPr="00A67B49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სკრინინგი უნდა განხორციელდეს არანაკლებ ყოველ მეორე კვირას ზემოთ ჩამოთვლილის</w:t>
      </w:r>
      <w:r w:rsidRPr="00EA4688">
        <w:rPr>
          <w:rFonts w:ascii="Sylfaen" w:hAnsi="Sylfaen" w:cs="Sylfaen"/>
          <w:spacing w:val="-1"/>
          <w:position w:val="1"/>
          <w:lang w:val="ka-GE" w:eastAsia="en-US"/>
        </w:rPr>
        <w:t xml:space="preserve"> გარდა ყველა სხვა ვარიანტის შემთხვევაში, სკრინინგის შეწყვეტის კრიტერიუმებამდე;</w:t>
      </w:r>
    </w:p>
    <w:p w:rsidR="00EA4688" w:rsidRPr="009677AE" w:rsidRDefault="00EA4688" w:rsidP="00B64738">
      <w:pPr>
        <w:pStyle w:val="ListParagraph"/>
        <w:numPr>
          <w:ilvl w:val="0"/>
          <w:numId w:val="17"/>
        </w:numPr>
        <w:tabs>
          <w:tab w:val="left" w:pos="357"/>
        </w:tabs>
        <w:ind w:right="65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ასაკით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</w:r>
      <w:r w:rsidR="00B647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34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კვირამდე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და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გესტაციური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წონით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2001</w:t>
      </w:r>
      <w:r w:rsidR="00B6473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გრამამდე</w:t>
      </w:r>
    </w:p>
    <w:p w:rsidR="00EA4688" w:rsidRPr="009677AE" w:rsidRDefault="00EA4688" w:rsidP="009677AE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ყველა დღენაკლული ახალშობილი, სტაციონარიდან გაწერამდე, გამოკვლეული უნდა იქნას ადგილობრივი კრიტერიუმით;</w:t>
      </w:r>
    </w:p>
    <w:p w:rsidR="00EA4688" w:rsidRPr="009677AE" w:rsidRDefault="00EA4688" w:rsidP="009677AE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სკრინინგის ჩატარების გადავადების შემთხვევაში, გადავადების გადაწყვეტილების მიზეზი გარკვევით უნდა აღინიშნოს ახალშობილის სამედიცინო ბარათში და დაგეგმილი გამოკვლევა უნდა ჩატარდეს ერთი კვირის ვადაში;</w:t>
      </w:r>
    </w:p>
    <w:p w:rsidR="004D5AC3" w:rsidRDefault="00EA4688" w:rsidP="009677AE">
      <w:pPr>
        <w:pStyle w:val="ListParagraph"/>
        <w:numPr>
          <w:ilvl w:val="0"/>
          <w:numId w:val="17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ახალშობილებს,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რომელთაც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არ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აღენიშნებათ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დღენაკლულთა</w:t>
      </w:r>
      <w:r w:rsid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რეტინოპათია 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და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ვასკულარიზაცია ვრცელდება III ზონაში, მხედველობისთვის საშიში რეტინოპათიის განვითარების მინიმალური რისკი აქვთ. ამ დროისთვის (პოსტკონცეპტუალური ასაკით 36 კვირის თავზე) სკრინინგი შეიძლება შეწყდეს.</w:t>
      </w:r>
    </w:p>
    <w:p w:rsidR="00AA4D75" w:rsidRDefault="00AA4D75" w:rsidP="00AA4D75">
      <w:p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spacing w:val="-1"/>
          <w:position w:val="1"/>
          <w:lang w:val="ka-GE" w:eastAsia="en-US"/>
        </w:rPr>
      </w:pPr>
    </w:p>
    <w:p w:rsidR="00AA4D75" w:rsidRDefault="00AA4D75" w:rsidP="00AA4D75">
      <w:pPr>
        <w:pStyle w:val="ListParagraph"/>
        <w:numPr>
          <w:ilvl w:val="0"/>
          <w:numId w:val="22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AA4D75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„ბავშვთა სისხლში ტ</w:t>
      </w:r>
      <w:r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ყვიის შემცველობის ბიომონიტორინგ</w:t>
      </w:r>
      <w:r w:rsidRPr="00AA4D75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ს“</w:t>
      </w:r>
    </w:p>
    <w:p w:rsidR="00804764" w:rsidRDefault="00804764" w:rsidP="00804764">
      <w:pPr>
        <w:pStyle w:val="ListParagraph"/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</w:p>
    <w:p w:rsidR="00AA4D75" w:rsidRPr="00804764" w:rsidRDefault="00AA4D75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სისხლში ტყვიის შემცველობის დონის განსაზღვრა გრაფიტული აბსორბციის ატომური სპექტრომეტრული ან/და პლაზმური მასპექტომეტრული მეთოდით;</w:t>
      </w:r>
    </w:p>
    <w:p w:rsidR="00AA4D75" w:rsidRPr="00804764" w:rsidRDefault="00440270" w:rsidP="00AA4D75">
      <w:pPr>
        <w:pStyle w:val="ListParagraph"/>
        <w:tabs>
          <w:tab w:val="left" w:pos="357"/>
          <w:tab w:val="left" w:pos="720"/>
          <w:tab w:val="left" w:pos="990"/>
        </w:tabs>
        <w:ind w:left="78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სისხლში ტყვიის 5 მკგ/დკ ან მეტი შემცველობის შემთხვევაში </w:t>
      </w:r>
      <w:r w:rsidR="00AA4D75"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დამატებითი კვლევები:</w:t>
      </w:r>
    </w:p>
    <w:p w:rsidR="00AA4D75" w:rsidRPr="00804764" w:rsidRDefault="00AA4D75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 სისხლის საერთო ანალიზი;</w:t>
      </w:r>
    </w:p>
    <w:p w:rsidR="00AA4D75" w:rsidRPr="00804764" w:rsidRDefault="00AA4D75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ფერიტინის განსაზღვრა სისხლში;</w:t>
      </w:r>
    </w:p>
    <w:p w:rsidR="00AA4D75" w:rsidRPr="00804764" w:rsidRDefault="00AA4D75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C რეაქტიული ცილის გამოკვლევა;</w:t>
      </w:r>
    </w:p>
    <w:p w:rsidR="00AA4D75" w:rsidRPr="00804764" w:rsidRDefault="00AA4D75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რკინის დონის განსაზღვრა სისხლში;</w:t>
      </w:r>
    </w:p>
    <w:p w:rsidR="00AA4D75" w:rsidRPr="00804764" w:rsidRDefault="00AA4D75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ჰემოგლობინის ან ჰემატოკრიტის განსაზღვრა;</w:t>
      </w:r>
    </w:p>
    <w:p w:rsidR="00AA4D75" w:rsidRPr="00804764" w:rsidRDefault="00804764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შარდში ჰემატინის რაოდენობის განსაზღვრა;</w:t>
      </w:r>
    </w:p>
    <w:p w:rsidR="00804764" w:rsidRPr="00804764" w:rsidRDefault="00804764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მუცლის ღრუს რენტგენოგრაფია;</w:t>
      </w:r>
    </w:p>
    <w:p w:rsidR="00804764" w:rsidRPr="00804764" w:rsidRDefault="00804764" w:rsidP="00AA4D75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ექიმი პედიატრის კონსულტაცია;</w:t>
      </w:r>
    </w:p>
    <w:p w:rsidR="00804764" w:rsidRPr="00804764" w:rsidRDefault="00440270" w:rsidP="00804764">
      <w:pPr>
        <w:pStyle w:val="ListParagraph"/>
        <w:tabs>
          <w:tab w:val="left" w:pos="357"/>
          <w:tab w:val="left" w:pos="720"/>
          <w:tab w:val="left" w:pos="990"/>
        </w:tabs>
        <w:ind w:left="780"/>
        <w:jc w:val="both"/>
        <w:rPr>
          <w:rFonts w:ascii="Sylfaen" w:eastAsia="Sylfaen" w:hAnsi="Sylfaen" w:cs="Sylfaen"/>
          <w:spacing w:val="-1"/>
          <w:sz w:val="22"/>
          <w:szCs w:val="22"/>
          <w:lang w:val="ka-GE"/>
        </w:rPr>
      </w:pPr>
      <w:r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ტყვიის დონის მატების შემთხვევაში ინიშნება </w:t>
      </w:r>
      <w:r w:rsidR="00804764"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მკურნალობა:</w:t>
      </w:r>
    </w:p>
    <w:p w:rsidR="00804764" w:rsidRPr="00804764" w:rsidRDefault="00804764" w:rsidP="00804764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>რკინის პრეპარატებით;</w:t>
      </w:r>
    </w:p>
    <w:p w:rsidR="00804764" w:rsidRPr="00804764" w:rsidRDefault="00804764" w:rsidP="00804764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 კალციუმით;</w:t>
      </w:r>
    </w:p>
    <w:p w:rsidR="00804764" w:rsidRPr="00804764" w:rsidRDefault="00804764" w:rsidP="00804764">
      <w:pPr>
        <w:pStyle w:val="ListParagraph"/>
        <w:numPr>
          <w:ilvl w:val="0"/>
          <w:numId w:val="14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b/>
          <w:spacing w:val="-1"/>
          <w:position w:val="1"/>
          <w:lang w:val="ka-GE" w:eastAsia="en-US"/>
        </w:rPr>
      </w:pPr>
      <w:r w:rsidRPr="00804764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 მულტივიტამინებით.</w:t>
      </w:r>
    </w:p>
    <w:p w:rsidR="00EA4688" w:rsidRPr="00EA4688" w:rsidRDefault="00EA4688" w:rsidP="00EA4688">
      <w:pPr>
        <w:pStyle w:val="ListParagraph"/>
        <w:ind w:left="284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Times New Roman" w:hAnsi="Sylfaen" w:cs="Sylfaen"/>
          <w:b/>
          <w:color w:val="808080" w:themeColor="background1" w:themeShade="80"/>
          <w:spacing w:val="-1"/>
          <w:position w:val="1"/>
          <w:lang w:val="ka-GE"/>
        </w:rPr>
      </w:pPr>
      <w:r w:rsidRPr="003B392E">
        <w:rPr>
          <w:rFonts w:ascii="Sylfaen" w:eastAsia="Times New Roman" w:hAnsi="Sylfaen" w:cs="Sylfaen"/>
          <w:b/>
          <w:color w:val="808080" w:themeColor="background1" w:themeShade="80"/>
          <w:spacing w:val="-1"/>
          <w:position w:val="1"/>
          <w:lang w:val="ka-GE"/>
        </w:rPr>
        <w:t>ვინ არის დაავადებათა ადრეული გამოვლენა და სკრინინგის მოსარგებლე?</w:t>
      </w: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Times New Roman" w:hAnsi="Sylfaen" w:cs="Sylfaen"/>
          <w:b/>
          <w:color w:val="808080" w:themeColor="background1" w:themeShade="80"/>
          <w:spacing w:val="-1"/>
          <w:position w:val="1"/>
          <w:lang w:val="ka-GE"/>
        </w:rPr>
      </w:pP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Sylfaen" w:hAnsi="Sylfaen"/>
          <w:lang w:val="ka-GE"/>
        </w:rPr>
      </w:pPr>
      <w:r w:rsidRPr="003B392E">
        <w:rPr>
          <w:rFonts w:ascii="Sylfaen" w:eastAsia="Sylfaen" w:hAnsi="Sylfaen"/>
        </w:rPr>
        <w:t>პროგრამის მოსარგებლეები არიან საქართველოს მოქალაქეები</w:t>
      </w:r>
      <w:r w:rsidRPr="003B392E">
        <w:rPr>
          <w:rFonts w:ascii="Sylfaen" w:eastAsia="Sylfaen" w:hAnsi="Sylfaen"/>
          <w:lang w:val="ka-GE"/>
        </w:rPr>
        <w:t>.</w:t>
      </w: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Sylfaen" w:hAnsi="Sylfaen"/>
          <w:lang w:val="ka-GE"/>
        </w:rPr>
      </w:pP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Sylfaen" w:hAnsi="Sylfaen"/>
          <w:lang w:val="ka-GE"/>
        </w:rPr>
      </w:pPr>
      <w:r w:rsidRPr="003B392E">
        <w:rPr>
          <w:rFonts w:ascii="Sylfaen" w:eastAsia="Sylfaen" w:hAnsi="Sylfaen"/>
          <w:lang w:val="ka-GE"/>
        </w:rPr>
        <w:t>მათ შორის:</w:t>
      </w: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Times New Roman" w:hAnsi="Sylfaen" w:cs="Times New Roman"/>
          <w:spacing w:val="-1"/>
          <w:position w:val="1"/>
          <w:lang w:val="ka-GE"/>
        </w:rPr>
      </w:pP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lastRenderedPageBreak/>
        <w:t>ძუძუს კიბოს სკრინინგის მოსარგებლეა  40-70 წლის ასაკის ქალები;</w:t>
      </w: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საშვილოსნოს ყელის კიბოს სკრინინგის მოსარგებლეა  25-60 წლის ასაკის ქალები;</w:t>
      </w: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პროსტა</w:t>
      </w:r>
      <w:r w:rsidR="00FC2FFF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ტის კიბოს სკრინინგის მოსარგებლე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ა  50-70 წლის ასაკის მამაკაცები;</w:t>
      </w: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კოლორექტალური კიბოს სკრინინგის მოსარგებლეა 50-70 წლის ორივე სქესი</w:t>
      </w:r>
      <w:r w:rsidR="00FC2FF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4D5AC3" w:rsidRPr="00FC2FFF" w:rsidRDefault="004D5AC3" w:rsidP="004D5AC3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  <w:r w:rsidRPr="003B392E">
        <w:rPr>
          <w:rFonts w:ascii="Sylfaen" w:hAnsi="Sylfaen" w:cs="Sylfaen"/>
          <w:sz w:val="22"/>
          <w:szCs w:val="22"/>
          <w:lang w:val="ka-GE"/>
        </w:rPr>
        <w:t xml:space="preserve">ბავშვთა ასაკის მენტალური განვითარების მსუბუქი და საშუალო ხარისხის დარღვევების სკრინინგისა  და პრევენციის </w:t>
      </w:r>
      <w:r w:rsidRPr="006F61B2">
        <w:rPr>
          <w:rFonts w:ascii="Sylfaen" w:hAnsi="Sylfaen" w:cs="Sylfaen"/>
          <w:sz w:val="22"/>
          <w:szCs w:val="22"/>
          <w:lang w:val="ka-GE"/>
        </w:rPr>
        <w:t xml:space="preserve">მოსარგებლეა </w:t>
      </w:r>
      <w:r w:rsidRPr="006F61B2">
        <w:rPr>
          <w:rFonts w:ascii="Sylfaen" w:eastAsia="Calibri" w:hAnsi="Sylfaen" w:cs="Sylfaen"/>
          <w:noProof/>
          <w:sz w:val="22"/>
          <w:szCs w:val="22"/>
          <w:lang w:val="ka-GE"/>
        </w:rPr>
        <w:t>1-დან 6 წლამდე ასაკის ბავშვი</w:t>
      </w:r>
      <w:r w:rsidR="00FC2FFF">
        <w:rPr>
          <w:rFonts w:ascii="Sylfaen" w:eastAsia="Calibri" w:hAnsi="Sylfaen" w:cs="Sylfaen"/>
          <w:noProof/>
          <w:sz w:val="22"/>
          <w:szCs w:val="22"/>
          <w:lang w:val="ka-GE"/>
        </w:rPr>
        <w:t>;</w:t>
      </w:r>
    </w:p>
    <w:p w:rsidR="00FC2FFF" w:rsidRDefault="00FC2FFF" w:rsidP="004D5AC3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  <w:r w:rsidRPr="00FC2FFF">
        <w:rPr>
          <w:rFonts w:ascii="Sylfaen" w:hAnsi="Sylfaen" w:cs="Sylfaen"/>
          <w:sz w:val="22"/>
          <w:szCs w:val="22"/>
          <w:lang w:val="ka-GE"/>
        </w:rPr>
        <w:t>გესტაციური ასაკით 34 კვირამდე ან გესტაციური წონით 2001 გრამზე ნაკლები ყველა დღენაკლული ახალშობილი</w:t>
      </w:r>
      <w:r w:rsidR="00804764">
        <w:rPr>
          <w:rFonts w:ascii="Sylfaen" w:hAnsi="Sylfaen" w:cs="Sylfaen"/>
          <w:sz w:val="22"/>
          <w:szCs w:val="22"/>
          <w:lang w:val="ka-GE"/>
        </w:rPr>
        <w:t>;</w:t>
      </w:r>
    </w:p>
    <w:p w:rsidR="00804764" w:rsidRPr="003B392E" w:rsidRDefault="00804764" w:rsidP="004D5AC3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  <w:r w:rsidRPr="00804764">
        <w:rPr>
          <w:rFonts w:ascii="Sylfaen" w:hAnsi="Sylfaen" w:cs="Sylfaen"/>
          <w:sz w:val="22"/>
          <w:szCs w:val="22"/>
          <w:lang w:val="ka-GE"/>
        </w:rPr>
        <w:t>ბავშვთა სისხლში ტყვიის შემცველობის ბიომონიტორინგ</w:t>
      </w:r>
      <w:r>
        <w:rPr>
          <w:rFonts w:ascii="Sylfaen" w:hAnsi="Sylfaen" w:cs="Sylfaen"/>
          <w:sz w:val="22"/>
          <w:szCs w:val="22"/>
          <w:lang w:val="ka-GE"/>
        </w:rPr>
        <w:t>ის მოსარგებლეა სამედიცინო ჩვენებიდან გამომდინარე ოჯახის ექიმის ან/და პედიატრის რეფერალის საფუძ</w:t>
      </w:r>
      <w:r w:rsidR="00440270">
        <w:rPr>
          <w:rFonts w:ascii="Sylfaen" w:hAnsi="Sylfaen" w:cs="Sylfaen"/>
          <w:sz w:val="22"/>
          <w:szCs w:val="22"/>
          <w:lang w:val="ka-GE"/>
        </w:rPr>
        <w:t>ველზე 7 წლამდე ასაკის ბავშვები, ასევე მათი ოჯახის წევრები(18 წლამდე ასაკის ბავშვები და ორსულები)</w:t>
      </w:r>
    </w:p>
    <w:p w:rsidR="004F7C23" w:rsidRPr="003B392E" w:rsidRDefault="004F7C23" w:rsidP="004F7C23">
      <w:pPr>
        <w:pStyle w:val="ListParagraph"/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</w:p>
    <w:p w:rsidR="00865871" w:rsidRPr="003B392E" w:rsidRDefault="004F7C23" w:rsidP="004F7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lang w:val="ka-GE"/>
        </w:rPr>
      </w:pP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ვის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უნდა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მიმართოთ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პროგრამაში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მონაწილეობის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მისაღებად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>?</w:t>
      </w:r>
    </w:p>
    <w:p w:rsidR="004F7C23" w:rsidRPr="003B392E" w:rsidRDefault="004F7C23" w:rsidP="004F7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  <w:lang w:val="ka-GE"/>
        </w:rPr>
      </w:pPr>
      <w:r w:rsidRPr="003B392E">
        <w:rPr>
          <w:rFonts w:ascii="Sylfaen" w:hAnsi="Sylfaen" w:cs="Sylfaen"/>
          <w:color w:val="000000"/>
          <w:lang w:val="ka-GE"/>
        </w:rPr>
        <w:t>დაავადებათა ადრეული გამოვლენა და სკრინინგის სახელმწიფო პროგრამაში მონაწილეობისათვის, საჭიროების შემთხვევაში, უნდა მიმართოთ  მომსახურების მიმწოდებლად დარეგისტრირებულ დაწესებულებას:</w:t>
      </w:r>
    </w:p>
    <w:p w:rsidR="004F7C23" w:rsidRPr="003B392E" w:rsidRDefault="004F7C23" w:rsidP="004F7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  <w:lang w:val="ka-GE"/>
        </w:rPr>
      </w:pPr>
    </w:p>
    <w:p w:rsidR="004F7C23" w:rsidRPr="003B392E" w:rsidRDefault="004F7C23" w:rsidP="004F7C2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ძუძუს კიბოს სკრინინგის მომსახურების მიმწოდებელ დაწესებულებათა ნუსხა (დანართი N1);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საშვილოსნოს ყელის კიბოს სკრინინგის მომსახურების მიმწოდებელ დაწესებულებათა ნუსხა (დანართი N2);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 xml:space="preserve">პროსტატის კიბოს სკრინინგის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მომსახურების მიმწოდებელ დაწესებულებათა ნუსხა (დანართი N3)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: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კოლორექტალური კიბოს სკრინინგის მომსახურების მიმწოდებელ დაწესებულებათა ნუსხა (დანართი N</w:t>
      </w:r>
      <w:r w:rsidR="006F61B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4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):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/>
          <w:sz w:val="22"/>
          <w:szCs w:val="22"/>
          <w:lang w:val="ka-GE"/>
        </w:rPr>
      </w:pPr>
      <w:r w:rsidRPr="003B392E">
        <w:rPr>
          <w:rFonts w:ascii="Sylfaen" w:hAnsi="Sylfaen" w:cs="Sylfaen"/>
          <w:sz w:val="22"/>
          <w:szCs w:val="22"/>
          <w:lang w:val="ka-GE"/>
        </w:rPr>
        <w:t xml:space="preserve">ბავშვთა ასაკის მენტალური განვითარების მსუბუქი და საშუალო ხარისხის დარღვევების სკრინინგისა  და პრევენციის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მომსახურების მიმწოდებელ დაწესებულებათა ნუსხა (დანართი N</w:t>
      </w:r>
      <w:r w:rsidR="00AA4D75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5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Pr="003B392E">
        <w:rPr>
          <w:rFonts w:ascii="Sylfaen" w:hAnsi="Sylfaen" w:cs="Sylfaen"/>
          <w:sz w:val="22"/>
          <w:szCs w:val="22"/>
          <w:lang w:val="ka-GE"/>
        </w:rPr>
        <w:t>:</w:t>
      </w:r>
    </w:p>
    <w:p w:rsidR="004F7C23" w:rsidRPr="00BE33A6" w:rsidRDefault="004F7C23" w:rsidP="004F7C2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ეპილეფსიის დიაგნოსტიკისა და ზედამხედველობის მომსახურების მიმწოდებელ დაწესებულებათა ნუსხა (დანართი N</w:t>
      </w:r>
      <w:r w:rsidR="00AA4D75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6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="00BE33A6">
        <w:rPr>
          <w:rFonts w:ascii="Sylfaen" w:hAnsi="Sylfaen" w:cs="Sylfaen"/>
          <w:spacing w:val="-1"/>
          <w:position w:val="1"/>
          <w:sz w:val="22"/>
          <w:szCs w:val="22"/>
          <w:lang w:val="en-US" w:eastAsia="en-US"/>
        </w:rPr>
        <w:t>:</w:t>
      </w:r>
    </w:p>
    <w:p w:rsidR="00BE33A6" w:rsidRDefault="00BE33A6" w:rsidP="008C68B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8C68B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დღენაკლულთა რეტინოპათიის სკრინინგის პილოტის მომსახურების მიმწოდებელ დაწესებულებათა ნუსხა (დანართი N</w:t>
      </w:r>
      <w:r w:rsidR="00AA4D75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7</w:t>
      </w:r>
      <w:r w:rsidR="00440270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);</w:t>
      </w:r>
    </w:p>
    <w:p w:rsidR="00440270" w:rsidRPr="008C68B2" w:rsidRDefault="00440270" w:rsidP="008C68B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804764">
        <w:rPr>
          <w:rFonts w:ascii="Sylfaen" w:hAnsi="Sylfaen" w:cs="Sylfaen"/>
          <w:sz w:val="22"/>
          <w:szCs w:val="22"/>
          <w:lang w:val="ka-GE"/>
        </w:rPr>
        <w:t>ბავშვთა სისხლში ტყვიის შემცველობის ბიომონიტორინგ</w:t>
      </w:r>
      <w:r>
        <w:rPr>
          <w:rFonts w:ascii="Sylfaen" w:hAnsi="Sylfaen" w:cs="Sylfaen"/>
          <w:sz w:val="22"/>
          <w:szCs w:val="22"/>
          <w:lang w:val="ka-GE"/>
        </w:rPr>
        <w:t>ის მომსახურების მიმწოდებელ დაწესებულებათა ნუსხა (დანართი N8)</w:t>
      </w:r>
    </w:p>
    <w:p w:rsidR="00BE33A6" w:rsidRPr="008C68B2" w:rsidRDefault="00BE33A6" w:rsidP="008C68B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8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4F7C23" w:rsidRPr="003B392E" w:rsidRDefault="004F7C23" w:rsidP="004F7C2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8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09FC" w:rsidRPr="003B392E" w:rsidRDefault="001409FC" w:rsidP="004F7C23">
      <w:pPr>
        <w:jc w:val="both"/>
        <w:rPr>
          <w:rFonts w:ascii="Sylfaen" w:hAnsi="Sylfaen"/>
          <w:lang w:val="ka-GE"/>
        </w:rPr>
      </w:pPr>
      <w:r w:rsidRPr="003B392E">
        <w:rPr>
          <w:rFonts w:ascii="Sylfaen" w:hAnsi="Sylfaen" w:cs="Sylfaen"/>
          <w:lang w:val="ka-GE"/>
        </w:rPr>
        <w:t>პროგრამის</w:t>
      </w:r>
      <w:r w:rsidRPr="003B392E">
        <w:rPr>
          <w:rFonts w:ascii="Sylfaen" w:hAnsi="Sylfaen"/>
          <w:lang w:val="ka-GE"/>
        </w:rPr>
        <w:t xml:space="preserve"> განმახორციელებელთან მოქალაქემ უნდა წარ</w:t>
      </w:r>
      <w:r w:rsidRPr="003B392E">
        <w:rPr>
          <w:rFonts w:ascii="Sylfaen" w:hAnsi="Sylfaen"/>
          <w:lang w:val="ka-GE"/>
        </w:rPr>
        <w:softHyphen/>
        <w:t>ადგინოს პი</w:t>
      </w:r>
      <w:r w:rsidRPr="003B392E">
        <w:rPr>
          <w:rFonts w:ascii="Sylfaen" w:hAnsi="Sylfaen"/>
          <w:lang w:val="ka-GE"/>
        </w:rPr>
        <w:softHyphen/>
        <w:t>რა</w:t>
      </w:r>
      <w:r w:rsidRPr="003B392E">
        <w:rPr>
          <w:rFonts w:ascii="Sylfaen" w:hAnsi="Sylfaen"/>
          <w:lang w:val="ka-GE"/>
        </w:rPr>
        <w:softHyphen/>
        <w:t>დობის დამადასტურებელი დოკუმენტის  ასლი (18 წლამდე ასაკის მო</w:t>
      </w:r>
      <w:r w:rsidRPr="003B392E">
        <w:rPr>
          <w:rFonts w:ascii="Sylfaen" w:hAnsi="Sylfaen"/>
          <w:lang w:val="ka-GE"/>
        </w:rPr>
        <w:softHyphen/>
        <w:t>ქა</w:t>
      </w:r>
      <w:r w:rsidRPr="003B392E">
        <w:rPr>
          <w:rFonts w:ascii="Sylfaen" w:hAnsi="Sylfaen"/>
          <w:lang w:val="ka-GE"/>
        </w:rPr>
        <w:softHyphen/>
        <w:t>ლა</w:t>
      </w:r>
      <w:r w:rsidRPr="003B392E">
        <w:rPr>
          <w:rFonts w:ascii="Sylfaen" w:hAnsi="Sylfaen"/>
          <w:lang w:val="ka-GE"/>
        </w:rPr>
        <w:softHyphen/>
        <w:t>ქე</w:t>
      </w:r>
      <w:r w:rsidRPr="003B392E">
        <w:rPr>
          <w:rFonts w:ascii="Sylfaen" w:hAnsi="Sylfaen"/>
          <w:lang w:val="ka-GE"/>
        </w:rPr>
        <w:softHyphen/>
        <w:t>თა შემთხვევაში დასაშვებია დაბადების მოწმობის ასლი).</w:t>
      </w:r>
    </w:p>
    <w:p w:rsidR="004F7C23" w:rsidRPr="003B392E" w:rsidRDefault="004F7C23" w:rsidP="003B392E">
      <w:pPr>
        <w:jc w:val="both"/>
        <w:rPr>
          <w:rFonts w:ascii="Sylfaen" w:hAnsi="Sylfaen"/>
          <w:lang w:val="ka-GE"/>
        </w:rPr>
      </w:pPr>
      <w:r w:rsidRPr="003B392E">
        <w:rPr>
          <w:rFonts w:ascii="Sylfaen" w:hAnsi="Sylfaen"/>
          <w:lang w:val="ka-GE"/>
        </w:rPr>
        <w:t>ზემოაღნიშნულ საკითხთან დაკავშირებით დამატებითი ინფორმაციის მიღება შეგიძლიათ სსიპ ,,ლ. საყვარელიძის სახელობის დაავადებათა კონტროლისა და საზოგადოებრივი ჯანმრთლობის ეროვნულ</w:t>
      </w:r>
      <w:r w:rsidR="00F56711">
        <w:rPr>
          <w:rFonts w:ascii="Sylfaen" w:hAnsi="Sylfaen"/>
          <w:lang w:val="ka-GE"/>
        </w:rPr>
        <w:t>ი</w:t>
      </w:r>
      <w:r w:rsidRPr="003B392E">
        <w:rPr>
          <w:rFonts w:ascii="Sylfaen" w:hAnsi="Sylfaen"/>
          <w:lang w:val="ka-GE"/>
        </w:rPr>
        <w:t xml:space="preserve"> ცენტრის“ ცხელი ხაზის მეშვეობით ( ტელეფონი </w:t>
      </w:r>
      <w:r w:rsidRPr="00440270">
        <w:rPr>
          <w:rFonts w:ascii="Sylfaen" w:hAnsi="Sylfaen"/>
          <w:lang w:val="ka-GE"/>
        </w:rPr>
        <w:t xml:space="preserve">–  </w:t>
      </w:r>
      <w:r w:rsidR="008C68B2" w:rsidRPr="00440270">
        <w:rPr>
          <w:rFonts w:ascii="Sylfaen" w:hAnsi="Sylfaen"/>
          <w:lang w:val="ka-GE"/>
        </w:rPr>
        <w:t>116 001</w:t>
      </w:r>
      <w:r w:rsidRPr="003B392E">
        <w:rPr>
          <w:rFonts w:ascii="Sylfaen" w:hAnsi="Sylfaen"/>
          <w:lang w:val="ka-GE"/>
        </w:rPr>
        <w:t>). </w:t>
      </w:r>
    </w:p>
    <w:p w:rsidR="00074E00" w:rsidRPr="003B392E" w:rsidRDefault="00074E00" w:rsidP="004F7C23">
      <w:pPr>
        <w:jc w:val="both"/>
        <w:rPr>
          <w:rFonts w:ascii="Sylfaen" w:hAnsi="Sylfaen"/>
          <w:lang w:val="ka-GE"/>
        </w:rPr>
      </w:pPr>
    </w:p>
    <w:sectPr w:rsidR="00074E00" w:rsidRPr="003B392E" w:rsidSect="001409FC">
      <w:pgSz w:w="12240" w:h="15840"/>
      <w:pgMar w:top="810" w:right="85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CC6"/>
    <w:multiLevelType w:val="hybridMultilevel"/>
    <w:tmpl w:val="22C0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9FE"/>
    <w:multiLevelType w:val="hybridMultilevel"/>
    <w:tmpl w:val="9A10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1B6"/>
    <w:multiLevelType w:val="hybridMultilevel"/>
    <w:tmpl w:val="A42242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A3B4CFC"/>
    <w:multiLevelType w:val="hybridMultilevel"/>
    <w:tmpl w:val="53DCAB28"/>
    <w:lvl w:ilvl="0" w:tplc="6E901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458D7"/>
    <w:multiLevelType w:val="hybridMultilevel"/>
    <w:tmpl w:val="02606384"/>
    <w:lvl w:ilvl="0" w:tplc="FDD44A4C">
      <w:start w:val="2012"/>
      <w:numFmt w:val="bullet"/>
      <w:lvlText w:val="-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DF5737"/>
    <w:multiLevelType w:val="hybridMultilevel"/>
    <w:tmpl w:val="14DCA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42B0B"/>
    <w:multiLevelType w:val="hybridMultilevel"/>
    <w:tmpl w:val="FD8A4FD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026ABE"/>
    <w:multiLevelType w:val="hybridMultilevel"/>
    <w:tmpl w:val="A932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A6A0B"/>
    <w:multiLevelType w:val="hybridMultilevel"/>
    <w:tmpl w:val="BF3ACE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5C02D5"/>
    <w:multiLevelType w:val="hybridMultilevel"/>
    <w:tmpl w:val="A6D6ED56"/>
    <w:lvl w:ilvl="0" w:tplc="040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0">
    <w:nsid w:val="4DE91BCF"/>
    <w:multiLevelType w:val="hybridMultilevel"/>
    <w:tmpl w:val="F78A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04550"/>
    <w:multiLevelType w:val="hybridMultilevel"/>
    <w:tmpl w:val="84F2B3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1D934C6"/>
    <w:multiLevelType w:val="hybridMultilevel"/>
    <w:tmpl w:val="1D547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36307F"/>
    <w:multiLevelType w:val="hybridMultilevel"/>
    <w:tmpl w:val="E5E65DE0"/>
    <w:lvl w:ilvl="0" w:tplc="FDD44A4C">
      <w:start w:val="2012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50BFC"/>
    <w:multiLevelType w:val="hybridMultilevel"/>
    <w:tmpl w:val="CCD820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D96B6C"/>
    <w:multiLevelType w:val="hybridMultilevel"/>
    <w:tmpl w:val="10BEC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04008"/>
    <w:multiLevelType w:val="hybridMultilevel"/>
    <w:tmpl w:val="56EAE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7A46"/>
    <w:multiLevelType w:val="hybridMultilevel"/>
    <w:tmpl w:val="C96A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9019F"/>
    <w:multiLevelType w:val="hybridMultilevel"/>
    <w:tmpl w:val="EE2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F0C68"/>
    <w:multiLevelType w:val="hybridMultilevel"/>
    <w:tmpl w:val="39CE0CA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581DB8"/>
    <w:multiLevelType w:val="hybridMultilevel"/>
    <w:tmpl w:val="81CAAE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D8356CC"/>
    <w:multiLevelType w:val="hybridMultilevel"/>
    <w:tmpl w:val="11BC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18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  <w:num w:numId="16">
    <w:abstractNumId w:val="17"/>
  </w:num>
  <w:num w:numId="17">
    <w:abstractNumId w:val="16"/>
  </w:num>
  <w:num w:numId="18">
    <w:abstractNumId w:val="2"/>
  </w:num>
  <w:num w:numId="19">
    <w:abstractNumId w:val="19"/>
  </w:num>
  <w:num w:numId="20">
    <w:abstractNumId w:val="1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12BC8"/>
    <w:rsid w:val="00074E00"/>
    <w:rsid w:val="00080DAE"/>
    <w:rsid w:val="00120ADA"/>
    <w:rsid w:val="001409FC"/>
    <w:rsid w:val="001E20D9"/>
    <w:rsid w:val="001E6359"/>
    <w:rsid w:val="0026003E"/>
    <w:rsid w:val="002E2637"/>
    <w:rsid w:val="003B392E"/>
    <w:rsid w:val="00440270"/>
    <w:rsid w:val="00487BA2"/>
    <w:rsid w:val="004B2B1F"/>
    <w:rsid w:val="004D5AC3"/>
    <w:rsid w:val="004F7C23"/>
    <w:rsid w:val="005716A3"/>
    <w:rsid w:val="00612BC8"/>
    <w:rsid w:val="006C28CB"/>
    <w:rsid w:val="006E5CFC"/>
    <w:rsid w:val="006F61B2"/>
    <w:rsid w:val="00767A8D"/>
    <w:rsid w:val="007B320C"/>
    <w:rsid w:val="00801538"/>
    <w:rsid w:val="00804764"/>
    <w:rsid w:val="00831930"/>
    <w:rsid w:val="00865871"/>
    <w:rsid w:val="0086697A"/>
    <w:rsid w:val="008C68B2"/>
    <w:rsid w:val="00915712"/>
    <w:rsid w:val="009677AE"/>
    <w:rsid w:val="009C3D79"/>
    <w:rsid w:val="00A67B49"/>
    <w:rsid w:val="00AA4D75"/>
    <w:rsid w:val="00B05ED8"/>
    <w:rsid w:val="00B64738"/>
    <w:rsid w:val="00B90F58"/>
    <w:rsid w:val="00BA13A0"/>
    <w:rsid w:val="00BE33A6"/>
    <w:rsid w:val="00C43BC9"/>
    <w:rsid w:val="00C54EFB"/>
    <w:rsid w:val="00CD3402"/>
    <w:rsid w:val="00D561DA"/>
    <w:rsid w:val="00D64803"/>
    <w:rsid w:val="00E875B2"/>
    <w:rsid w:val="00EA4688"/>
    <w:rsid w:val="00F56711"/>
    <w:rsid w:val="00FA583A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08F8-28DE-4826-B3B5-7DF8699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2BC8"/>
  </w:style>
  <w:style w:type="character" w:customStyle="1" w:styleId="apple-converted-space">
    <w:name w:val="apple-converted-space"/>
    <w:basedOn w:val="DefaultParagraphFont"/>
    <w:rsid w:val="00612BC8"/>
  </w:style>
  <w:style w:type="paragraph" w:styleId="ListParagraph">
    <w:name w:val="List Paragraph"/>
    <w:basedOn w:val="Normal"/>
    <w:uiPriority w:val="34"/>
    <w:qFormat/>
    <w:rsid w:val="00260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 Mgaloblishvili</cp:lastModifiedBy>
  <cp:revision>25</cp:revision>
  <dcterms:created xsi:type="dcterms:W3CDTF">2014-08-13T13:54:00Z</dcterms:created>
  <dcterms:modified xsi:type="dcterms:W3CDTF">2020-06-24T04:53:00Z</dcterms:modified>
</cp:coreProperties>
</file>