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3.xml" ContentType="application/vnd.openxmlformats-officedocument.drawingml.chart+xml"/>
  <Override PartName="/word/charts/chart14.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5.xml" ContentType="application/vnd.openxmlformats-officedocument.drawingml.chart+xml"/>
  <Override PartName="/word/charts/chart16.xml" ContentType="application/vnd.openxmlformats-officedocument.drawingml.chart+xml"/>
  <Override PartName="/word/charts/style11.xml" ContentType="application/vnd.ms-office.chartstyle+xml"/>
  <Override PartName="/word/charts/colors1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24379" w:rsidRPr="00122AB5" w:rsidRDefault="00724379" w:rsidP="00724379">
      <w:pPr>
        <w:jc w:val="center"/>
        <w:rPr>
          <w:rFonts w:ascii="Sylfaen" w:hAnsi="Sylfaen"/>
          <w:b/>
          <w:noProof/>
          <w:color w:val="002060"/>
          <w:sz w:val="24"/>
          <w:szCs w:val="24"/>
          <w:lang w:val="ka-GE"/>
        </w:rPr>
      </w:pPr>
      <w:r w:rsidRPr="00122AB5">
        <w:rPr>
          <w:rFonts w:ascii="Sylfaen" w:hAnsi="Sylfaen"/>
          <w:b/>
          <w:noProof/>
          <w:color w:val="002060"/>
          <w:sz w:val="24"/>
          <w:szCs w:val="24"/>
          <w:lang w:val="ka-GE"/>
        </w:rPr>
        <w:t>ონკოლოგიურ</w:t>
      </w:r>
      <w:r>
        <w:rPr>
          <w:rFonts w:ascii="Sylfaen" w:hAnsi="Sylfaen"/>
          <w:b/>
          <w:noProof/>
          <w:color w:val="002060"/>
          <w:sz w:val="24"/>
          <w:szCs w:val="24"/>
          <w:lang w:val="ka-GE"/>
        </w:rPr>
        <w:t>ი</w:t>
      </w:r>
      <w:r w:rsidRPr="00122AB5">
        <w:rPr>
          <w:rFonts w:ascii="Sylfaen" w:hAnsi="Sylfaen"/>
          <w:b/>
          <w:noProof/>
          <w:color w:val="002060"/>
          <w:sz w:val="24"/>
          <w:szCs w:val="24"/>
          <w:lang w:val="ka-GE"/>
        </w:rPr>
        <w:t xml:space="preserve"> </w:t>
      </w:r>
      <w:r>
        <w:rPr>
          <w:rFonts w:ascii="Sylfaen" w:hAnsi="Sylfaen"/>
          <w:b/>
          <w:noProof/>
          <w:color w:val="002060"/>
          <w:sz w:val="24"/>
          <w:szCs w:val="24"/>
          <w:lang w:val="ka-GE"/>
        </w:rPr>
        <w:t>დაავადებები,</w:t>
      </w:r>
      <w:r w:rsidRPr="00122AB5">
        <w:rPr>
          <w:rFonts w:ascii="Sylfaen" w:hAnsi="Sylfaen"/>
          <w:b/>
          <w:noProof/>
          <w:color w:val="002060"/>
          <w:sz w:val="24"/>
          <w:szCs w:val="24"/>
          <w:lang w:val="ka-GE"/>
        </w:rPr>
        <w:t xml:space="preserve"> გლობალური გავრცელება, 2016</w:t>
      </w:r>
      <w:r>
        <w:rPr>
          <w:rStyle w:val="FootnoteReference"/>
          <w:rFonts w:ascii="Sylfaen" w:hAnsi="Sylfaen"/>
          <w:b/>
          <w:noProof/>
          <w:color w:val="002060"/>
          <w:sz w:val="24"/>
          <w:szCs w:val="24"/>
          <w:lang w:val="ka-GE"/>
        </w:rPr>
        <w:footnoteReference w:id="1"/>
      </w:r>
    </w:p>
    <w:p w:rsidR="00724379" w:rsidRDefault="00724379" w:rsidP="00724379">
      <w:pPr>
        <w:spacing w:after="0"/>
        <w:jc w:val="both"/>
        <w:rPr>
          <w:rFonts w:ascii="Sylfaen" w:hAnsi="Sylfaen"/>
          <w:noProof/>
          <w:lang w:val="ka-GE"/>
        </w:rPr>
      </w:pPr>
      <w:r>
        <w:rPr>
          <w:rFonts w:ascii="Sylfaen" w:hAnsi="Sylfaen"/>
          <w:noProof/>
          <w:lang w:val="ka-GE"/>
        </w:rPr>
        <w:t>მსოფლიოში სიკვდილის ყოველი მეექვსე შემთხვევა ონკოლოგიურ დაავადებებთან არის დაკავშირებული; იგი სიკვდილიანობის გამომწვევი მეორე ძირითადი მიზეზია გულ-სისხლძარღვთა დაავადებების შემდეგ. ჯანმრთელობის გაზომვებისა და შეფასების ინსტიტუტის შეფასებით (</w:t>
      </w:r>
      <w:r w:rsidRPr="00325904">
        <w:rPr>
          <w:rFonts w:ascii="Sylfaen" w:hAnsi="Sylfaen"/>
          <w:noProof/>
          <w:lang w:val="ka-GE"/>
        </w:rPr>
        <w:t>IHME)</w:t>
      </w:r>
      <w:r>
        <w:rPr>
          <w:rFonts w:ascii="Sylfaen" w:hAnsi="Sylfaen"/>
          <w:noProof/>
          <w:lang w:val="ka-GE"/>
        </w:rPr>
        <w:t xml:space="preserve"> 2016 წელს თითქმის ცხრა მილიონი ადამიანი გარდაიცვალა სხვადასხვა ლოკალიზაციის კიბოთი. </w:t>
      </w:r>
    </w:p>
    <w:p w:rsidR="00724379" w:rsidRDefault="00724379" w:rsidP="00724379">
      <w:pPr>
        <w:jc w:val="both"/>
        <w:rPr>
          <w:rFonts w:ascii="Sylfaen" w:hAnsi="Sylfaen"/>
          <w:noProof/>
          <w:lang w:val="ka-GE"/>
        </w:rPr>
      </w:pPr>
      <w:r>
        <w:rPr>
          <w:rFonts w:ascii="Sylfaen" w:hAnsi="Sylfaen"/>
          <w:noProof/>
          <w:lang w:val="ka-GE"/>
        </w:rPr>
        <w:t xml:space="preserve">სიკვდილის სხვა ძირითადი მიზეზების წინააღმდეგ არსებული მიღწევები და დემოგრაფიული მამოძრავებელი ძალები, რაც მოსახლეობის რაოდენობის და სიცოცხლის მოსალოდნელი ხანგრძლივობის ზრდას უკავშირდება, ამასთან, ფაქტიურად მაღალგანვითარებულ ქვეყნებში მოსახლეობის დაბერებას ნიშნავს, კიბოთი გარდაცვლილთა საერთო რაოდენობის ზრდას იწვევს. </w:t>
      </w:r>
    </w:p>
    <w:p w:rsidR="00724379" w:rsidRPr="009F265D" w:rsidRDefault="00724379" w:rsidP="00724379">
      <w:pPr>
        <w:spacing w:after="0"/>
        <w:rPr>
          <w:rFonts w:ascii="Sylfaen" w:hAnsi="Sylfaen"/>
          <w:b/>
          <w:sz w:val="24"/>
          <w:szCs w:val="24"/>
          <w:lang w:val="ka-GE"/>
        </w:rPr>
      </w:pPr>
      <w:r w:rsidRPr="009F265D">
        <w:rPr>
          <w:rFonts w:ascii="Sylfaen" w:hAnsi="Sylfaen"/>
          <w:b/>
          <w:sz w:val="24"/>
          <w:szCs w:val="24"/>
          <w:lang w:val="ka-GE"/>
        </w:rPr>
        <w:t>კიბოს პრევალენტობის გლობალური პერსპექტივები</w:t>
      </w:r>
    </w:p>
    <w:p w:rsidR="00724379" w:rsidRDefault="00724379" w:rsidP="00724379">
      <w:pPr>
        <w:jc w:val="both"/>
        <w:rPr>
          <w:rFonts w:ascii="Sylfaen" w:hAnsi="Sylfaen"/>
          <w:lang w:val="ka-GE"/>
        </w:rPr>
      </w:pPr>
      <w:r>
        <w:rPr>
          <w:rFonts w:ascii="Sylfaen" w:hAnsi="Sylfaen"/>
          <w:lang w:val="ka-GE"/>
        </w:rPr>
        <w:t xml:space="preserve">ქვემოთ მოყვანილ </w:t>
      </w:r>
      <w:r w:rsidRPr="00BD5E09">
        <w:rPr>
          <w:rFonts w:ascii="Sylfaen" w:hAnsi="Sylfaen"/>
          <w:lang w:val="ka-GE"/>
        </w:rPr>
        <w:t xml:space="preserve">სურათზე </w:t>
      </w:r>
      <w:r>
        <w:rPr>
          <w:rFonts w:ascii="Sylfaen" w:hAnsi="Sylfaen"/>
          <w:lang w:val="ka-GE"/>
        </w:rPr>
        <w:t xml:space="preserve">მოცემულია ყველა ლოკალიზაციის კიბოს გლობალური გავრცელება. კიბოს მაღალი გავრეცელება მაღალი შემოსავლების მქონე ქვეყნებში ძლიერ კორელაციაშია აღნიშნულ ქვეყნებში მოსახლეობის ცხოვრების წესთან და კერძოდ, ქცევით რისკის ფაქტორებთან, როგორიცაა, თამბაქოს მოხმარება, არასწორი კვება, სიმსუქნე და ალკოჰოლის მოხმარება. კიბოს პრევალენტობა ქვეყნებისა და პოპულაციების მიხედვით, როგორც რუქიდან ჩანს, 0.2-დან 2%-ის ფარგლებში ვარირებს.  </w:t>
      </w:r>
    </w:p>
    <w:p w:rsidR="00724379" w:rsidRDefault="00724379" w:rsidP="00724379">
      <w:pPr>
        <w:jc w:val="both"/>
        <w:rPr>
          <w:rFonts w:ascii="Sylfaen" w:hAnsi="Sylfaen"/>
          <w:lang w:val="ka-GE"/>
        </w:rPr>
      </w:pPr>
      <w:r>
        <w:rPr>
          <w:rFonts w:ascii="Sylfaen" w:hAnsi="Sylfaen"/>
          <w:lang w:val="ka-GE"/>
        </w:rPr>
        <w:t>სურათი 33. კიბოთი დაავადებულთა ხვედრითი წილი ქვეყნების მიხედვით, 2016</w:t>
      </w:r>
    </w:p>
    <w:tbl>
      <w:tblPr>
        <w:tblW w:w="0" w:type="auto"/>
        <w:tblInd w:w="311"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000" w:firstRow="0" w:lastRow="0" w:firstColumn="0" w:lastColumn="0" w:noHBand="0" w:noVBand="0"/>
      </w:tblPr>
      <w:tblGrid>
        <w:gridCol w:w="9216"/>
      </w:tblGrid>
      <w:tr w:rsidR="00724379" w:rsidTr="00724379">
        <w:trPr>
          <w:trHeight w:val="4733"/>
        </w:trPr>
        <w:tc>
          <w:tcPr>
            <w:tcW w:w="9020" w:type="dxa"/>
          </w:tcPr>
          <w:p w:rsidR="00724379" w:rsidRDefault="00724379" w:rsidP="00464A95">
            <w:pPr>
              <w:jc w:val="both"/>
              <w:rPr>
                <w:rFonts w:ascii="Sylfaen" w:hAnsi="Sylfaen"/>
                <w:lang w:val="ka-GE"/>
              </w:rPr>
            </w:pPr>
            <w:r>
              <w:rPr>
                <w:noProof/>
              </w:rPr>
              <w:drawing>
                <wp:inline distT="0" distB="0" distL="0" distR="0" wp14:anchorId="004FD99A" wp14:editId="125BA783">
                  <wp:extent cx="5715000" cy="295275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15000" cy="2952750"/>
                          </a:xfrm>
                          <a:prstGeom prst="rect">
                            <a:avLst/>
                          </a:prstGeom>
                        </pic:spPr>
                      </pic:pic>
                    </a:graphicData>
                  </a:graphic>
                </wp:inline>
              </w:drawing>
            </w:r>
          </w:p>
        </w:tc>
      </w:tr>
    </w:tbl>
    <w:p w:rsidR="00724379" w:rsidRPr="002F2B90" w:rsidRDefault="00724379" w:rsidP="00724379">
      <w:pPr>
        <w:jc w:val="center"/>
        <w:rPr>
          <w:lang w:val="ka-GE"/>
        </w:rPr>
      </w:pPr>
    </w:p>
    <w:p w:rsidR="00724379" w:rsidRDefault="00724379" w:rsidP="00724379">
      <w:pPr>
        <w:rPr>
          <w:rFonts w:ascii="Sylfaen" w:hAnsi="Sylfaen"/>
          <w:lang w:val="ka-GE"/>
        </w:rPr>
      </w:pPr>
    </w:p>
    <w:p w:rsidR="00724379" w:rsidRDefault="00724379" w:rsidP="00724379">
      <w:pPr>
        <w:jc w:val="both"/>
        <w:rPr>
          <w:rFonts w:ascii="Sylfaen" w:hAnsi="Sylfaen"/>
          <w:lang w:val="ka-GE"/>
        </w:rPr>
      </w:pPr>
      <w:r>
        <w:rPr>
          <w:rFonts w:ascii="Sylfaen" w:hAnsi="Sylfaen"/>
          <w:lang w:val="ka-GE"/>
        </w:rPr>
        <w:lastRenderedPageBreak/>
        <w:t>2016 წელს გლობალურად ხუთი ყველაზე გავრცელებული ონკოლოგიური დაავადება იყო ძუძუს, კოლორექტული, პროსტატის, ფილტვის (ტრაქეის, ბრონქებისა და ფილტვის) და კუჭის კიბო, რომელთა შორის ლიდერობდა ძუძუს კიბო, აღნიშნული დიაგნოზის მქონე მსოფლიო მოსახლეობის 0.12%-ით (სურათი 34).</w:t>
      </w:r>
    </w:p>
    <w:p w:rsidR="00724379" w:rsidRDefault="00724379" w:rsidP="00724379">
      <w:pPr>
        <w:jc w:val="both"/>
        <w:rPr>
          <w:rFonts w:ascii="Sylfaen" w:hAnsi="Sylfaen"/>
          <w:lang w:val="ka-GE"/>
        </w:rPr>
      </w:pPr>
      <w:r>
        <w:rPr>
          <w:rFonts w:ascii="Sylfaen" w:hAnsi="Sylfaen"/>
          <w:lang w:val="ka-GE"/>
        </w:rPr>
        <w:t>სურათი 34. მსოფლიო პოპულაციის ხვედრითი წილი, რომელთაც დასმული აქვთ სხვადასხვა ლოკალიზაციის კიბოს დიაგნოზი</w:t>
      </w:r>
      <w:r>
        <w:rPr>
          <w:rStyle w:val="FootnoteReference"/>
          <w:rFonts w:ascii="Sylfaen" w:hAnsi="Sylfaen"/>
          <w:lang w:val="ka-GE"/>
        </w:rPr>
        <w:footnoteReference w:id="2"/>
      </w:r>
    </w:p>
    <w:p w:rsidR="00724379" w:rsidRDefault="00724379" w:rsidP="00724379">
      <w:pPr>
        <w:jc w:val="center"/>
        <w:rPr>
          <w:rFonts w:ascii="Sylfaen" w:hAnsi="Sylfaen"/>
          <w:lang w:val="ka-GE"/>
        </w:rPr>
      </w:pPr>
      <w:r w:rsidRPr="00644B0D">
        <w:rPr>
          <w:rFonts w:ascii="Sylfaen" w:hAnsi="Sylfaen"/>
          <w:noProof/>
        </w:rPr>
        <w:drawing>
          <wp:inline distT="0" distB="0" distL="0" distR="0" wp14:anchorId="613619C4" wp14:editId="73875FDB">
            <wp:extent cx="6115050" cy="2867025"/>
            <wp:effectExtent l="0" t="0" r="0" b="9525"/>
            <wp:docPr id="1034" name="Chart 10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724379" w:rsidRPr="00992E1C" w:rsidRDefault="00724379" w:rsidP="00724379">
      <w:pPr>
        <w:spacing w:line="276" w:lineRule="auto"/>
        <w:jc w:val="both"/>
        <w:rPr>
          <w:rFonts w:ascii="Sylfaen" w:hAnsi="Sylfaen"/>
          <w:lang w:val="ka-GE"/>
        </w:rPr>
      </w:pPr>
      <w:r>
        <w:rPr>
          <w:rFonts w:ascii="Sylfaen" w:hAnsi="Sylfaen"/>
          <w:lang w:val="ka-GE"/>
        </w:rPr>
        <w:t xml:space="preserve">უკანასკნელი სამი ათეული წლის განმავლობაში ძუძუს, კოლორექტული და პროსტატის კიბო ყველაზე ფართოდ გავრცელებულ ონკოლოგიურ დაავადებათა სამეულში შედის, ამასთან, აღნიშნულ პერიოდში გარკვეულწილად იზრდება მოცემული ლოკალიზაციის კიბოს მქონე პოპულაციის ხვედრითი წილი: თუ 1990 წელს ძუძუს, კოლორექტული და პროსტატის კიბოს დიაგნოზის მქონე მსოფლიო პოპულაციის ხვედრითი წილი შეადგენდა 0.11%, 0.08% და 0.06%-ს, 2016 წლისთვის ზემოთმოყვანილი მაჩვენებლები გაიზარდა 0.12%, 0.10% და 0.09%-მდე, შესაბამისად. მსოფლიოში ტრაქეის, ბრონქებისა და ფილტვის კიბო პრევალენტობის მიხედვით სტაბილურად მეოთხე ადგილს ინარჩუნებს ხანგრძლივი დროის მანძილზე </w:t>
      </w:r>
      <w:r w:rsidRPr="00992E1C">
        <w:rPr>
          <w:rFonts w:ascii="Sylfaen" w:hAnsi="Sylfaen"/>
          <w:lang w:val="ka-GE"/>
        </w:rPr>
        <w:t>(სურათი 35).</w:t>
      </w:r>
    </w:p>
    <w:p w:rsidR="00724379" w:rsidRDefault="00724379" w:rsidP="00724379">
      <w:pPr>
        <w:jc w:val="both"/>
        <w:rPr>
          <w:rFonts w:ascii="Sylfaen" w:hAnsi="Sylfaen"/>
          <w:lang w:val="ka-GE"/>
        </w:rPr>
      </w:pPr>
    </w:p>
    <w:p w:rsidR="00724379" w:rsidRDefault="00724379" w:rsidP="00724379">
      <w:pPr>
        <w:jc w:val="both"/>
        <w:rPr>
          <w:rFonts w:ascii="Sylfaen" w:hAnsi="Sylfaen"/>
          <w:lang w:val="ka-GE"/>
        </w:rPr>
      </w:pPr>
    </w:p>
    <w:p w:rsidR="00724379" w:rsidRDefault="00724379" w:rsidP="00724379">
      <w:pPr>
        <w:jc w:val="both"/>
        <w:rPr>
          <w:rFonts w:ascii="Sylfaen" w:hAnsi="Sylfaen"/>
          <w:lang w:val="ka-GE"/>
        </w:rPr>
      </w:pPr>
    </w:p>
    <w:p w:rsidR="00724379" w:rsidRDefault="00724379" w:rsidP="00724379">
      <w:pPr>
        <w:jc w:val="both"/>
        <w:rPr>
          <w:rFonts w:ascii="Sylfaen" w:hAnsi="Sylfaen"/>
          <w:lang w:val="ka-GE"/>
        </w:rPr>
      </w:pPr>
    </w:p>
    <w:p w:rsidR="00724379" w:rsidRDefault="00724379" w:rsidP="00724379">
      <w:pPr>
        <w:jc w:val="both"/>
        <w:rPr>
          <w:rFonts w:ascii="Sylfaen" w:hAnsi="Sylfaen"/>
          <w:lang w:val="ka-GE"/>
        </w:rPr>
      </w:pPr>
    </w:p>
    <w:p w:rsidR="00724379" w:rsidRDefault="00724379" w:rsidP="00724379">
      <w:pPr>
        <w:jc w:val="both"/>
        <w:rPr>
          <w:rFonts w:ascii="Sylfaen" w:hAnsi="Sylfaen"/>
          <w:lang w:val="ka-GE"/>
        </w:rPr>
      </w:pPr>
    </w:p>
    <w:p w:rsidR="00724379" w:rsidRPr="00992E1C" w:rsidRDefault="00724379" w:rsidP="00724379">
      <w:pPr>
        <w:jc w:val="both"/>
        <w:rPr>
          <w:rFonts w:ascii="Sylfaen" w:hAnsi="Sylfaen"/>
          <w:lang w:val="ka-GE"/>
        </w:rPr>
      </w:pPr>
      <w:r w:rsidRPr="00992E1C">
        <w:rPr>
          <w:rFonts w:ascii="Sylfaen" w:hAnsi="Sylfaen"/>
          <w:lang w:val="ka-GE"/>
        </w:rPr>
        <w:lastRenderedPageBreak/>
        <w:t>სურათი 35. შერჩეული ლოკალიზაციის კიბოს დიაგნოზის მქონე მსოფლი</w:t>
      </w:r>
      <w:r>
        <w:rPr>
          <w:rFonts w:ascii="Sylfaen" w:hAnsi="Sylfaen"/>
          <w:lang w:val="ka-GE"/>
        </w:rPr>
        <w:t xml:space="preserve">ო პოპულაციის ხვედრითი წილის დინამიკა, 1990-2016  </w:t>
      </w:r>
    </w:p>
    <w:tbl>
      <w:tblPr>
        <w:tblW w:w="0" w:type="auto"/>
        <w:tblInd w:w="53"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000" w:firstRow="0" w:lastRow="0" w:firstColumn="0" w:lastColumn="0" w:noHBand="0" w:noVBand="0"/>
      </w:tblPr>
      <w:tblGrid>
        <w:gridCol w:w="9726"/>
      </w:tblGrid>
      <w:tr w:rsidR="00724379" w:rsidTr="00464A95">
        <w:trPr>
          <w:trHeight w:val="4211"/>
        </w:trPr>
        <w:tc>
          <w:tcPr>
            <w:tcW w:w="9550" w:type="dxa"/>
          </w:tcPr>
          <w:p w:rsidR="00724379" w:rsidRDefault="00724379" w:rsidP="00464A95">
            <w:pPr>
              <w:jc w:val="center"/>
              <w:rPr>
                <w:rFonts w:ascii="Sylfaen" w:hAnsi="Sylfaen"/>
                <w:lang w:val="ka-GE"/>
              </w:rPr>
            </w:pPr>
            <w:r>
              <w:rPr>
                <w:noProof/>
              </w:rPr>
              <w:drawing>
                <wp:inline distT="0" distB="0" distL="0" distR="0" wp14:anchorId="2B7536F1" wp14:editId="4AC9820F">
                  <wp:extent cx="6038850" cy="2657475"/>
                  <wp:effectExtent l="0" t="0" r="0" b="952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38850" cy="2657475"/>
                          </a:xfrm>
                          <a:prstGeom prst="rect">
                            <a:avLst/>
                          </a:prstGeom>
                        </pic:spPr>
                      </pic:pic>
                    </a:graphicData>
                  </a:graphic>
                </wp:inline>
              </w:drawing>
            </w:r>
          </w:p>
        </w:tc>
      </w:tr>
    </w:tbl>
    <w:p w:rsidR="00724379" w:rsidRDefault="00724379" w:rsidP="00724379">
      <w:pPr>
        <w:jc w:val="center"/>
        <w:rPr>
          <w:rFonts w:ascii="Sylfaen" w:hAnsi="Sylfaen"/>
          <w:lang w:val="ka-GE"/>
        </w:rPr>
      </w:pPr>
    </w:p>
    <w:p w:rsidR="00724379" w:rsidRDefault="00724379" w:rsidP="00724379">
      <w:pPr>
        <w:rPr>
          <w:lang w:val="ka-GE"/>
        </w:rPr>
      </w:pPr>
    </w:p>
    <w:p w:rsidR="00724379" w:rsidRPr="009F265D" w:rsidRDefault="00724379" w:rsidP="00724379">
      <w:pPr>
        <w:spacing w:after="0"/>
        <w:jc w:val="both"/>
        <w:rPr>
          <w:rFonts w:ascii="Sylfaen" w:hAnsi="Sylfaen"/>
          <w:b/>
          <w:sz w:val="24"/>
          <w:szCs w:val="24"/>
          <w:lang w:val="ka-GE"/>
        </w:rPr>
      </w:pPr>
      <w:r>
        <w:rPr>
          <w:rFonts w:ascii="Sylfaen" w:hAnsi="Sylfaen"/>
          <w:b/>
          <w:sz w:val="24"/>
          <w:szCs w:val="24"/>
          <w:lang w:val="ka-GE"/>
        </w:rPr>
        <w:t>კიბოს</w:t>
      </w:r>
      <w:r w:rsidRPr="009F265D">
        <w:rPr>
          <w:rFonts w:ascii="Sylfaen" w:hAnsi="Sylfaen"/>
          <w:b/>
          <w:sz w:val="24"/>
          <w:szCs w:val="24"/>
          <w:lang w:val="ka-GE"/>
        </w:rPr>
        <w:t xml:space="preserve"> საერთო რაოდენობა</w:t>
      </w:r>
      <w:r>
        <w:rPr>
          <w:rFonts w:ascii="Sylfaen" w:hAnsi="Sylfaen"/>
          <w:b/>
          <w:sz w:val="24"/>
          <w:szCs w:val="24"/>
          <w:lang w:val="ka-GE"/>
        </w:rPr>
        <w:t xml:space="preserve"> და რაოდენობა კიბოს ლოკალიზაციის მიხედვით</w:t>
      </w:r>
    </w:p>
    <w:p w:rsidR="00724379" w:rsidRDefault="00724379" w:rsidP="00724379">
      <w:pPr>
        <w:spacing w:after="0"/>
        <w:jc w:val="both"/>
        <w:rPr>
          <w:rFonts w:ascii="Sylfaen" w:hAnsi="Sylfaen"/>
          <w:lang w:val="ka-GE"/>
        </w:rPr>
      </w:pPr>
      <w:r>
        <w:rPr>
          <w:rFonts w:ascii="Sylfaen" w:hAnsi="Sylfaen"/>
          <w:lang w:val="ka-GE"/>
        </w:rPr>
        <w:t xml:space="preserve">გლობალურად თითქმის 42 მილიონი ადამიანია დაავადებული სხვადასხვა ლოკალიზაციის ონკოლოგიური დაავადებით; აღნიშნული რაოდენობა ორჯერ და მეტად მაღალია 1990 წელთან შედარებით, როცა ექსპერტთა შეფასებით 19 მილიონი შემთხვევა </w:t>
      </w:r>
      <w:r w:rsidRPr="00992E1C">
        <w:rPr>
          <w:rFonts w:ascii="Sylfaen" w:hAnsi="Sylfaen"/>
          <w:lang w:val="ka-GE"/>
        </w:rPr>
        <w:t xml:space="preserve">აღირიცხებოდა. </w:t>
      </w:r>
      <w:r>
        <w:rPr>
          <w:rFonts w:ascii="Sylfaen" w:hAnsi="Sylfaen"/>
          <w:lang w:val="ka-GE"/>
        </w:rPr>
        <w:t>რუკ</w:t>
      </w:r>
      <w:r w:rsidRPr="00992E1C">
        <w:rPr>
          <w:rFonts w:ascii="Sylfaen" w:hAnsi="Sylfaen"/>
          <w:lang w:val="ka-GE"/>
        </w:rPr>
        <w:t>აზე მოცემულია ონკოლოგიურ პაციენტთა საერთო რაოდენობა ქვეყნების მიხედვით (სურათი 36).</w:t>
      </w:r>
      <w:r>
        <w:rPr>
          <w:rFonts w:ascii="Sylfaen" w:hAnsi="Sylfaen"/>
          <w:lang w:val="ka-GE"/>
        </w:rPr>
        <w:t xml:space="preserve">     </w:t>
      </w:r>
    </w:p>
    <w:p w:rsidR="00724379" w:rsidRDefault="00724379" w:rsidP="00724379">
      <w:pPr>
        <w:spacing w:after="0"/>
        <w:jc w:val="both"/>
        <w:rPr>
          <w:rFonts w:ascii="Sylfaen" w:hAnsi="Sylfaen"/>
          <w:lang w:val="ka-GE"/>
        </w:rPr>
      </w:pPr>
      <w:r>
        <w:rPr>
          <w:rFonts w:ascii="Sylfaen" w:hAnsi="Sylfaen"/>
          <w:lang w:val="ka-GE"/>
        </w:rPr>
        <w:t xml:space="preserve"> </w:t>
      </w:r>
    </w:p>
    <w:p w:rsidR="00724379" w:rsidRDefault="00724379" w:rsidP="00724379">
      <w:pPr>
        <w:rPr>
          <w:rFonts w:ascii="Sylfaen" w:hAnsi="Sylfaen"/>
          <w:lang w:val="ka-GE"/>
        </w:rPr>
      </w:pPr>
      <w:r>
        <w:rPr>
          <w:rFonts w:ascii="Sylfaen" w:hAnsi="Sylfaen"/>
          <w:lang w:val="ka-GE"/>
        </w:rPr>
        <w:t xml:space="preserve">სურათი 36. ონკოლოგიურ პაციენტთა საერთო რაოდენობა ქვეყნების მიხედვით, 2016 </w:t>
      </w:r>
    </w:p>
    <w:p w:rsidR="00724379" w:rsidRDefault="00724379" w:rsidP="00724379">
      <w:pPr>
        <w:jc w:val="center"/>
        <w:rPr>
          <w:rFonts w:ascii="Sylfaen" w:hAnsi="Sylfaen"/>
          <w:lang w:val="ka-GE"/>
        </w:rPr>
      </w:pPr>
      <w:r>
        <w:rPr>
          <w:noProof/>
        </w:rPr>
        <w:drawing>
          <wp:inline distT="0" distB="0" distL="0" distR="0" wp14:anchorId="2F8F505E" wp14:editId="280AF49A">
            <wp:extent cx="5876925" cy="2790825"/>
            <wp:effectExtent l="19050" t="19050" r="28575" b="28575"/>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76925" cy="2790825"/>
                    </a:xfrm>
                    <a:prstGeom prst="rect">
                      <a:avLst/>
                    </a:prstGeom>
                    <a:ln w="12700">
                      <a:solidFill>
                        <a:srgbClr val="0070C0"/>
                      </a:solidFill>
                    </a:ln>
                  </pic:spPr>
                </pic:pic>
              </a:graphicData>
            </a:graphic>
          </wp:inline>
        </w:drawing>
      </w:r>
    </w:p>
    <w:p w:rsidR="00724379" w:rsidRPr="002F2B90" w:rsidRDefault="00724379" w:rsidP="00724379">
      <w:pPr>
        <w:rPr>
          <w:lang w:val="ka-GE"/>
        </w:rPr>
      </w:pPr>
    </w:p>
    <w:p w:rsidR="00724379" w:rsidRDefault="00724379" w:rsidP="00724379">
      <w:pPr>
        <w:jc w:val="both"/>
        <w:rPr>
          <w:rFonts w:ascii="Sylfaen" w:hAnsi="Sylfaen"/>
          <w:lang w:val="ka-GE"/>
        </w:rPr>
      </w:pPr>
      <w:r>
        <w:rPr>
          <w:rFonts w:ascii="Sylfaen" w:hAnsi="Sylfaen"/>
          <w:lang w:val="ka-GE"/>
        </w:rPr>
        <w:lastRenderedPageBreak/>
        <w:t xml:space="preserve">არსებული შეფასების მიხედვით, 2016 წელს მსოფლიოში ძუძუს კიბოთი 8 მილიონი ადამიანი იყო დაავადებული, რომელსაც მოსდევდა კოლორექტული, პროსტატისა და ტრაქეის, ბრონქებისა და ფილტვის კიბო 6.3, 5.7 და 2.8 მილიონი შემთხვევით, </w:t>
      </w:r>
      <w:r w:rsidRPr="009F265D">
        <w:rPr>
          <w:rFonts w:ascii="Sylfaen" w:hAnsi="Sylfaen"/>
          <w:lang w:val="ka-GE"/>
        </w:rPr>
        <w:t>შესაბამისად</w:t>
      </w:r>
      <w:r>
        <w:rPr>
          <w:rFonts w:ascii="Sylfaen" w:hAnsi="Sylfaen"/>
          <w:lang w:val="ka-GE"/>
        </w:rPr>
        <w:t xml:space="preserve"> (სურათი 37).</w:t>
      </w:r>
    </w:p>
    <w:p w:rsidR="00724379" w:rsidRDefault="00724379" w:rsidP="00724379">
      <w:pPr>
        <w:jc w:val="both"/>
        <w:rPr>
          <w:rFonts w:ascii="Sylfaen" w:hAnsi="Sylfaen"/>
          <w:lang w:val="ka-GE"/>
        </w:rPr>
      </w:pPr>
      <w:r>
        <w:rPr>
          <w:rFonts w:ascii="Sylfaen" w:hAnsi="Sylfaen"/>
          <w:lang w:val="ka-GE"/>
        </w:rPr>
        <w:t>სურათი 37. სხვადასხვა ლოკალიზაციის კიბოს მქონე პაციენტთა რაოდენობა მსოფლიოში, 2016</w:t>
      </w:r>
    </w:p>
    <w:p w:rsidR="00724379" w:rsidRDefault="00724379" w:rsidP="00724379">
      <w:pPr>
        <w:spacing w:after="0"/>
        <w:jc w:val="center"/>
        <w:rPr>
          <w:rFonts w:ascii="Sylfaen" w:hAnsi="Sylfaen"/>
          <w:lang w:val="ka-GE"/>
        </w:rPr>
      </w:pPr>
      <w:r w:rsidRPr="007E7CD3">
        <w:rPr>
          <w:rFonts w:ascii="Sylfaen" w:hAnsi="Sylfaen"/>
          <w:noProof/>
        </w:rPr>
        <w:drawing>
          <wp:inline distT="0" distB="0" distL="0" distR="0" wp14:anchorId="4756723D" wp14:editId="5A697423">
            <wp:extent cx="6115050" cy="3048000"/>
            <wp:effectExtent l="0" t="0" r="0" b="0"/>
            <wp:docPr id="1037" name="Chart 10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724379" w:rsidRDefault="00724379" w:rsidP="00724379">
      <w:pPr>
        <w:spacing w:after="0"/>
        <w:jc w:val="both"/>
        <w:rPr>
          <w:rFonts w:ascii="Sylfaen" w:hAnsi="Sylfaen"/>
          <w:lang w:val="ka-GE"/>
        </w:rPr>
      </w:pPr>
    </w:p>
    <w:p w:rsidR="00724379" w:rsidRDefault="00724379" w:rsidP="00724379">
      <w:pPr>
        <w:rPr>
          <w:rFonts w:ascii="Sylfaen" w:hAnsi="Sylfaen"/>
          <w:b/>
          <w:lang w:val="ka-GE"/>
        </w:rPr>
      </w:pPr>
    </w:p>
    <w:p w:rsidR="00724379" w:rsidRPr="00DD006A" w:rsidRDefault="00724379" w:rsidP="00724379">
      <w:pPr>
        <w:rPr>
          <w:rFonts w:ascii="Sylfaen" w:hAnsi="Sylfaen"/>
          <w:b/>
          <w:lang w:val="ka-GE"/>
        </w:rPr>
      </w:pPr>
      <w:r w:rsidRPr="00DD006A">
        <w:rPr>
          <w:rFonts w:ascii="Sylfaen" w:hAnsi="Sylfaen"/>
          <w:b/>
          <w:lang w:val="ka-GE"/>
        </w:rPr>
        <w:t>კიბოს პრევალენტობა ასაკობრივი ჯგუფების მიხედვით</w:t>
      </w:r>
    </w:p>
    <w:p w:rsidR="00724379" w:rsidRDefault="00724379" w:rsidP="00724379">
      <w:pPr>
        <w:jc w:val="center"/>
        <w:rPr>
          <w:rFonts w:ascii="Sylfaen" w:hAnsi="Sylfaen"/>
          <w:lang w:val="ka-GE"/>
        </w:rPr>
      </w:pPr>
      <w:r>
        <w:rPr>
          <w:rFonts w:ascii="Sylfaen" w:hAnsi="Sylfaen"/>
          <w:lang w:val="ka-GE"/>
        </w:rPr>
        <w:t>სურათი 38. ონკოლოგიურ პაციენტთა საერთო რაოდენობა ასაკობრივი ჯგუფების მიხედვით მსოფლიოში</w:t>
      </w:r>
      <w:r>
        <w:rPr>
          <w:noProof/>
        </w:rPr>
        <w:drawing>
          <wp:inline distT="0" distB="0" distL="0" distR="0" wp14:anchorId="1A9944B9" wp14:editId="04EE372A">
            <wp:extent cx="5381625" cy="2638425"/>
            <wp:effectExtent l="19050" t="19050" r="28575" b="2857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81625" cy="2638425"/>
                    </a:xfrm>
                    <a:prstGeom prst="rect">
                      <a:avLst/>
                    </a:prstGeom>
                    <a:ln w="12700">
                      <a:solidFill>
                        <a:srgbClr val="0070C0"/>
                      </a:solidFill>
                    </a:ln>
                  </pic:spPr>
                </pic:pic>
              </a:graphicData>
            </a:graphic>
          </wp:inline>
        </w:drawing>
      </w:r>
    </w:p>
    <w:p w:rsidR="00724379" w:rsidRDefault="00724379" w:rsidP="00724379">
      <w:pPr>
        <w:spacing w:after="0"/>
        <w:jc w:val="both"/>
        <w:rPr>
          <w:rFonts w:ascii="Sylfaen" w:hAnsi="Sylfaen"/>
          <w:lang w:val="ka-GE"/>
        </w:rPr>
      </w:pPr>
    </w:p>
    <w:p w:rsidR="00724379" w:rsidRDefault="00724379" w:rsidP="00724379">
      <w:pPr>
        <w:spacing w:after="0"/>
        <w:jc w:val="both"/>
        <w:rPr>
          <w:rFonts w:ascii="Sylfaen" w:hAnsi="Sylfaen"/>
          <w:lang w:val="ka-GE"/>
        </w:rPr>
      </w:pPr>
      <w:r>
        <w:rPr>
          <w:rFonts w:ascii="Sylfaen" w:hAnsi="Sylfaen"/>
          <w:lang w:val="ka-GE"/>
        </w:rPr>
        <w:t xml:space="preserve">სურათზე (სურათი 38) ვიზუალურად მოცემულია კიბოს გავრცელება ასაკობრივი ჯგუფების მიხედვით, საიდანაც ჩანს, რომ ონკოლოგიური დაავადებები ძირითადად 50 წლის და უფროსი </w:t>
      </w:r>
      <w:r>
        <w:rPr>
          <w:rFonts w:ascii="Sylfaen" w:hAnsi="Sylfaen"/>
          <w:lang w:val="ka-GE"/>
        </w:rPr>
        <w:lastRenderedPageBreak/>
        <w:t xml:space="preserve">ასაკის მოსახლეობაში ვლინდება; აღნიშნულ ასაკობრივ ჯგუფზე ონკოლოგიურ დაავადებათა საერთო რაოდენობის თითქმის 83-84% მოდის, შემთხვევების 46% გავრცელებულია 50-69 წლის მოსახლეობაში, ხოლო 37% - 70 წლის და უფროსი ასაკის პოპულაციაში. </w:t>
      </w:r>
    </w:p>
    <w:p w:rsidR="00724379" w:rsidRDefault="00724379" w:rsidP="00724379">
      <w:pPr>
        <w:spacing w:after="0"/>
        <w:jc w:val="both"/>
        <w:rPr>
          <w:rFonts w:ascii="Sylfaen" w:hAnsi="Sylfaen"/>
          <w:lang w:val="ka-GE"/>
        </w:rPr>
      </w:pPr>
      <w:r>
        <w:rPr>
          <w:rFonts w:ascii="Sylfaen" w:hAnsi="Sylfaen"/>
          <w:lang w:val="ka-GE"/>
        </w:rPr>
        <w:t xml:space="preserve">ონკოლოგიურ დაავადებათა მხოლოდ ერთი პროცენტი გვხდება ბავშვებსა და 14 წლამდე ასაკის მოზარდებში, რომელთა შორის პრევალირებს ლეიკემია. </w:t>
      </w:r>
    </w:p>
    <w:p w:rsidR="00724379" w:rsidRDefault="00724379" w:rsidP="00724379">
      <w:pPr>
        <w:jc w:val="both"/>
        <w:rPr>
          <w:rFonts w:ascii="Sylfaen" w:hAnsi="Sylfaen"/>
          <w:lang w:val="ka-GE"/>
        </w:rPr>
      </w:pPr>
      <w:r>
        <w:rPr>
          <w:rFonts w:ascii="Sylfaen" w:hAnsi="Sylfaen"/>
          <w:lang w:val="ka-GE"/>
        </w:rPr>
        <w:t>მსოფლიოში ასაკობრივი ჯგუფების მიხედვით ონკოლოგიურ პაციენტთა ხვედრითი წილის დინამიკა უჩვენებს, რომ ზრდის ტენდენცია ძირითადად გამოხატულია 70 წლის და უფროსი ასაკის პოპულაციაში: მაგალითად, თუ 1990 წელს აღნიშნულ ასაკობრივ ჯგუფში 3.23%-ს აღენიშნებოდა რომელიმე ლოკალიზაციის კიბო, 2016 წლისთვის მაჩვენებელი 3.88%-მდე გაიზარდა (სურათი 39).</w:t>
      </w:r>
    </w:p>
    <w:p w:rsidR="00724379" w:rsidRPr="009435D5" w:rsidRDefault="00724379" w:rsidP="00724379">
      <w:pPr>
        <w:jc w:val="both"/>
        <w:rPr>
          <w:rFonts w:ascii="Sylfaen" w:hAnsi="Sylfaen"/>
          <w:lang w:val="ka-GE"/>
        </w:rPr>
      </w:pPr>
      <w:r>
        <w:rPr>
          <w:rFonts w:ascii="Sylfaen" w:hAnsi="Sylfaen"/>
          <w:lang w:val="ka-GE"/>
        </w:rPr>
        <w:t>სურათი 39. ასაკობრივი ჯგუფების მიხედვით ონკოლოგიურ პაციენტთა ხვედრითი წილის დინამიკა მსოფლიოში, 1990-2016</w:t>
      </w:r>
    </w:p>
    <w:p w:rsidR="00724379" w:rsidRDefault="00724379" w:rsidP="00724379">
      <w:pPr>
        <w:jc w:val="center"/>
        <w:rPr>
          <w:rFonts w:ascii="Sylfaen" w:hAnsi="Sylfaen"/>
          <w:lang w:val="ka-GE"/>
        </w:rPr>
      </w:pPr>
      <w:r>
        <w:rPr>
          <w:noProof/>
        </w:rPr>
        <w:drawing>
          <wp:inline distT="0" distB="0" distL="0" distR="0" wp14:anchorId="41C70473" wp14:editId="0B02807B">
            <wp:extent cx="5791200" cy="2762250"/>
            <wp:effectExtent l="19050" t="19050" r="19050" b="1905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91200" cy="2762250"/>
                    </a:xfrm>
                    <a:prstGeom prst="rect">
                      <a:avLst/>
                    </a:prstGeom>
                    <a:ln w="12700">
                      <a:solidFill>
                        <a:srgbClr val="0070C0"/>
                      </a:solidFill>
                    </a:ln>
                  </pic:spPr>
                </pic:pic>
              </a:graphicData>
            </a:graphic>
          </wp:inline>
        </w:drawing>
      </w:r>
    </w:p>
    <w:p w:rsidR="00724379" w:rsidRDefault="00724379" w:rsidP="00724379">
      <w:pPr>
        <w:spacing w:after="0"/>
        <w:jc w:val="both"/>
        <w:rPr>
          <w:rFonts w:ascii="Sylfaen" w:hAnsi="Sylfaen"/>
          <w:b/>
          <w:sz w:val="24"/>
          <w:szCs w:val="24"/>
          <w:lang w:val="ka-GE"/>
        </w:rPr>
      </w:pPr>
    </w:p>
    <w:p w:rsidR="00724379" w:rsidRPr="00585584" w:rsidRDefault="00724379" w:rsidP="00724379">
      <w:pPr>
        <w:spacing w:after="0"/>
        <w:jc w:val="both"/>
        <w:rPr>
          <w:rFonts w:ascii="Sylfaen" w:hAnsi="Sylfaen"/>
          <w:b/>
          <w:sz w:val="24"/>
          <w:szCs w:val="24"/>
          <w:lang w:val="ka-GE"/>
        </w:rPr>
      </w:pPr>
      <w:r w:rsidRPr="00585584">
        <w:rPr>
          <w:rFonts w:ascii="Sylfaen" w:hAnsi="Sylfaen"/>
          <w:b/>
          <w:sz w:val="24"/>
          <w:szCs w:val="24"/>
          <w:lang w:val="ka-GE"/>
        </w:rPr>
        <w:t xml:space="preserve">კიბოთი </w:t>
      </w:r>
      <w:r>
        <w:rPr>
          <w:rFonts w:ascii="Sylfaen" w:hAnsi="Sylfaen"/>
          <w:b/>
          <w:sz w:val="24"/>
          <w:szCs w:val="24"/>
          <w:lang w:val="ka-GE"/>
        </w:rPr>
        <w:t>სიკვდილიანობის გლობალური მახასიათებლები</w:t>
      </w:r>
    </w:p>
    <w:p w:rsidR="00724379" w:rsidRDefault="00724379" w:rsidP="00724379">
      <w:pPr>
        <w:spacing w:after="0" w:line="276" w:lineRule="auto"/>
        <w:jc w:val="both"/>
        <w:rPr>
          <w:rFonts w:ascii="Sylfaen" w:hAnsi="Sylfaen"/>
          <w:noProof/>
          <w:lang w:val="ka-GE"/>
        </w:rPr>
      </w:pPr>
      <w:r>
        <w:rPr>
          <w:rFonts w:ascii="Sylfaen" w:hAnsi="Sylfaen"/>
          <w:lang w:val="ka-GE"/>
        </w:rPr>
        <w:t xml:space="preserve">გლობალურად კიბოთი გარდაცვლილთა საერთო რაოდენობა 1990 წლის შემდეგ 56%-ით (5.7-დან 8.9 მილიონამდე) გაიზრდა. ქვეყნების მიხედვით მსგავსი ტენდენცია ვლინდება; თუმცა, ეს არ ნიშნავს, რომ კიბოთი სიკვდილიანობის მაჩვენებელი ასეთივე ტემპით მატულობს. </w:t>
      </w:r>
      <w:r w:rsidRPr="00ED4134">
        <w:rPr>
          <w:rFonts w:ascii="Sylfaen" w:hAnsi="Sylfaen"/>
          <w:lang w:val="ka-GE"/>
        </w:rPr>
        <w:t xml:space="preserve">თუ გავითვალისწინებთ იმას, რომ კიბოთი გარდაცვლილთა აბსოლუტური რაოდენობის ზრდას </w:t>
      </w:r>
      <w:r>
        <w:rPr>
          <w:rFonts w:ascii="Sylfaen" w:hAnsi="Sylfaen"/>
          <w:lang w:val="ka-GE"/>
        </w:rPr>
        <w:t>სამი ძირითადი</w:t>
      </w:r>
      <w:r w:rsidRPr="00ED4134">
        <w:rPr>
          <w:rFonts w:ascii="Sylfaen" w:hAnsi="Sylfaen"/>
          <w:lang w:val="ka-GE"/>
        </w:rPr>
        <w:t xml:space="preserve"> მამოძრავებელი ძალა გააჩნია </w:t>
      </w:r>
      <w:r>
        <w:rPr>
          <w:rFonts w:ascii="Sylfaen" w:hAnsi="Sylfaen"/>
          <w:lang w:val="ka-GE"/>
        </w:rPr>
        <w:t>-</w:t>
      </w:r>
      <w:r>
        <w:rPr>
          <w:rFonts w:ascii="Sylfaen" w:hAnsi="Sylfaen"/>
          <w:noProof/>
          <w:lang w:val="ka-GE"/>
        </w:rPr>
        <w:t xml:space="preserve"> კიბოს პრევალენტობის რეალური მატება, მსოფლიო მოსახლეობის რაოდენობის ზრდა და მოსახლეობის დაბერება </w:t>
      </w:r>
      <w:r w:rsidRPr="00ED4134">
        <w:rPr>
          <w:rFonts w:ascii="Sylfaen" w:hAnsi="Sylfaen"/>
          <w:lang w:val="ka-GE"/>
        </w:rPr>
        <w:t>(პოპულაციაში ასაკოვანთა ხვედრითი წილის ზრდა)</w:t>
      </w:r>
      <w:r>
        <w:rPr>
          <w:rFonts w:ascii="Sylfaen" w:hAnsi="Sylfaen"/>
          <w:noProof/>
          <w:lang w:val="ka-GE"/>
        </w:rPr>
        <w:t xml:space="preserve">, არსებულ სიტუაციას უფრო რეალურად შევაფასებთ: თუ  კიბოთი გარდაცვლილთა რაოდენობის კორექცია მოხდება მოსახლეობის ზომის მიხედვით (ყველა ასაკის სიკვდილიანობის მაჩვენებელი), ზრდის აღნიშნული პროცენტი (56%) შემცირდება 10%-ით, ხოლო თუ მაჩვენებლის კორეგირება მოხდება პოპულაციის ზომისა და ასაკობრივი სტრუქტურის მიხედვით, ის კიდევ 15-20%-ით შემცირდება. საბოლოოდ, მიუხედავად იმისა, რომ კიბოთი გარდაცვლილთა რიცხვი იზრდება, სიკვდილიანობის სტანდარტიზებული მაჩვენებელი </w:t>
      </w:r>
      <w:r>
        <w:rPr>
          <w:rFonts w:ascii="Sylfaen" w:hAnsi="Sylfaen"/>
          <w:noProof/>
          <w:lang w:val="ka-GE"/>
        </w:rPr>
        <w:lastRenderedPageBreak/>
        <w:t xml:space="preserve">კლებულობს: </w:t>
      </w:r>
      <w:r w:rsidRPr="00326BAD">
        <w:rPr>
          <w:rFonts w:ascii="Sylfaen" w:hAnsi="Sylfaen"/>
          <w:noProof/>
          <w:lang w:val="ka-GE"/>
        </w:rPr>
        <w:t xml:space="preserve">მაგალითად, თუ 1990 წელს ყოველ 100 000 მოსახლეზე </w:t>
      </w:r>
      <w:r>
        <w:rPr>
          <w:rFonts w:ascii="Sylfaen" w:hAnsi="Sylfaen"/>
          <w:noProof/>
          <w:lang w:val="ka-GE"/>
        </w:rPr>
        <w:t xml:space="preserve">კიბოთი </w:t>
      </w:r>
      <w:r w:rsidRPr="00326BAD">
        <w:rPr>
          <w:rFonts w:ascii="Sylfaen" w:hAnsi="Sylfaen"/>
          <w:noProof/>
          <w:lang w:val="ka-GE"/>
        </w:rPr>
        <w:t xml:space="preserve">161 ადამიანი </w:t>
      </w:r>
      <w:r>
        <w:rPr>
          <w:rFonts w:ascii="Sylfaen" w:hAnsi="Sylfaen"/>
          <w:noProof/>
          <w:lang w:val="ka-GE"/>
        </w:rPr>
        <w:t>იღუპებოდა, 2016 წელს აღნიშნული შემცირდა 134-მდე.</w:t>
      </w:r>
    </w:p>
    <w:p w:rsidR="00724379" w:rsidRDefault="00724379" w:rsidP="00724379">
      <w:pPr>
        <w:spacing w:after="0" w:line="276" w:lineRule="auto"/>
        <w:jc w:val="both"/>
        <w:rPr>
          <w:rFonts w:ascii="Sylfaen" w:hAnsi="Sylfaen"/>
          <w:noProof/>
          <w:lang w:val="ka-GE"/>
        </w:rPr>
      </w:pPr>
      <w:r w:rsidRPr="00ED4134">
        <w:rPr>
          <w:rFonts w:ascii="Sylfaen" w:hAnsi="Sylfaen"/>
          <w:noProof/>
          <w:lang w:val="ka-GE"/>
        </w:rPr>
        <w:t>ქვემოთ</w:t>
      </w:r>
      <w:r>
        <w:rPr>
          <w:rFonts w:ascii="Sylfaen" w:hAnsi="Sylfaen"/>
          <w:noProof/>
          <w:lang w:val="ka-GE"/>
        </w:rPr>
        <w:t xml:space="preserve"> სურათზე (სურათი 40)</w:t>
      </w:r>
      <w:r w:rsidRPr="00ED4134">
        <w:rPr>
          <w:rFonts w:ascii="Sylfaen" w:hAnsi="Sylfaen"/>
          <w:noProof/>
          <w:lang w:val="ka-GE"/>
        </w:rPr>
        <w:t xml:space="preserve"> მოცემულია </w:t>
      </w:r>
      <w:r>
        <w:rPr>
          <w:rFonts w:ascii="Sylfaen" w:hAnsi="Sylfaen"/>
          <w:noProof/>
          <w:lang w:val="ka-GE"/>
        </w:rPr>
        <w:t xml:space="preserve">კიბოს სიკვდილიანობის </w:t>
      </w:r>
      <w:r w:rsidRPr="00ED4134">
        <w:rPr>
          <w:rFonts w:ascii="Sylfaen" w:hAnsi="Sylfaen"/>
          <w:noProof/>
          <w:lang w:val="ka-GE"/>
        </w:rPr>
        <w:t xml:space="preserve">სამი </w:t>
      </w:r>
      <w:r>
        <w:rPr>
          <w:rFonts w:ascii="Sylfaen" w:hAnsi="Sylfaen"/>
          <w:noProof/>
          <w:lang w:val="ka-GE"/>
        </w:rPr>
        <w:t xml:space="preserve">მახასიათებლის ცვლილების </w:t>
      </w:r>
      <w:r w:rsidRPr="00ED4134">
        <w:rPr>
          <w:rFonts w:ascii="Sylfaen" w:hAnsi="Sylfaen"/>
          <w:noProof/>
          <w:lang w:val="ka-GE"/>
        </w:rPr>
        <w:t>ინდექსი</w:t>
      </w:r>
      <w:r>
        <w:rPr>
          <w:rFonts w:ascii="Sylfaen" w:hAnsi="Sylfaen"/>
          <w:noProof/>
          <w:lang w:val="ka-GE"/>
        </w:rPr>
        <w:t xml:space="preserve"> (%)</w:t>
      </w:r>
      <w:r w:rsidRPr="00ED4134">
        <w:rPr>
          <w:rFonts w:ascii="Sylfaen" w:hAnsi="Sylfaen"/>
          <w:noProof/>
          <w:lang w:val="ka-GE"/>
        </w:rPr>
        <w:t xml:space="preserve"> 1990 </w:t>
      </w:r>
      <w:r>
        <w:rPr>
          <w:rFonts w:ascii="Sylfaen" w:hAnsi="Sylfaen"/>
          <w:noProof/>
          <w:lang w:val="ka-GE"/>
        </w:rPr>
        <w:t>წელთან შედარებით</w:t>
      </w:r>
      <w:r w:rsidRPr="00ED4134">
        <w:rPr>
          <w:rFonts w:ascii="Sylfaen" w:hAnsi="Sylfaen"/>
          <w:noProof/>
          <w:lang w:val="ka-GE"/>
        </w:rPr>
        <w:t xml:space="preserve">: </w:t>
      </w:r>
      <w:r>
        <w:rPr>
          <w:rFonts w:ascii="Sylfaen" w:hAnsi="Sylfaen"/>
          <w:noProof/>
          <w:lang w:val="ka-GE"/>
        </w:rPr>
        <w:t xml:space="preserve">(1) </w:t>
      </w:r>
      <w:r w:rsidRPr="00ED4134">
        <w:rPr>
          <w:rFonts w:ascii="Sylfaen" w:hAnsi="Sylfaen"/>
          <w:noProof/>
          <w:lang w:val="ka-GE"/>
        </w:rPr>
        <w:t>კიბოთი გარდაცვლილთა საერთო რაოდენობა</w:t>
      </w:r>
      <w:r>
        <w:rPr>
          <w:rFonts w:ascii="Sylfaen" w:hAnsi="Sylfaen"/>
          <w:noProof/>
          <w:lang w:val="ka-GE"/>
        </w:rPr>
        <w:t xml:space="preserve">, </w:t>
      </w:r>
      <w:r w:rsidRPr="00ED4134">
        <w:rPr>
          <w:rFonts w:ascii="Sylfaen" w:hAnsi="Sylfaen"/>
          <w:noProof/>
          <w:lang w:val="ka-GE"/>
        </w:rPr>
        <w:t>აღნიშნული არ ექვემდებარება კორექტირებას პოპულაციის ზომის ან ას</w:t>
      </w:r>
      <w:r>
        <w:rPr>
          <w:rFonts w:ascii="Sylfaen" w:hAnsi="Sylfaen"/>
          <w:noProof/>
          <w:lang w:val="ka-GE"/>
        </w:rPr>
        <w:t>ა</w:t>
      </w:r>
      <w:r w:rsidRPr="00ED4134">
        <w:rPr>
          <w:rFonts w:ascii="Sylfaen" w:hAnsi="Sylfaen"/>
          <w:noProof/>
          <w:lang w:val="ka-GE"/>
        </w:rPr>
        <w:t>კობრივი სტრუქტურის მიხედვით;</w:t>
      </w:r>
      <w:r>
        <w:rPr>
          <w:rFonts w:ascii="Sylfaen" w:hAnsi="Sylfaen"/>
          <w:noProof/>
          <w:lang w:val="ka-GE"/>
        </w:rPr>
        <w:t xml:space="preserve"> (2) კიბოს სიკვდილიანობის მაჩვენებელი ყველა ასაკისთვის, კორექტირებულია მოსახლეობის ზომის მიხედვით და (3) ასაკ-სტანდარტიზებული სიკვდილიანობის მაჩვენებელი, კორექტირებულია პოპულაციის ზომისა და ასაკობრივი სტრუქტურის მიხედვით. აღნიშნული ტენდენციები </w:t>
      </w:r>
      <w:r w:rsidRPr="002F54BE">
        <w:rPr>
          <w:rFonts w:ascii="Sylfaen" w:hAnsi="Sylfaen"/>
          <w:noProof/>
          <w:lang w:val="ka-GE"/>
        </w:rPr>
        <w:t>ინდექსირებულია,</w:t>
      </w:r>
      <w:r>
        <w:rPr>
          <w:rFonts w:ascii="Sylfaen" w:hAnsi="Sylfaen"/>
          <w:noProof/>
          <w:lang w:val="ka-GE"/>
        </w:rPr>
        <w:t xml:space="preserve"> ანუ პროცენტული ცვლილებები გამოთვლილია 1990 წლის მაჩვენებელთან შედარებით იმ დაშვებით, რომ 1990 წელს ყველა მნიშვნელობა 100%-ის ტოლი იყო; მოცემული დაშვებიდან გამომდინარე, 120 ნიშნავს, რომ მაჩვენებელი გაზრდილია 20%-ით 1990 წლის მაჩვენებელთან შედარებით; 60 კი ნიშნავს, რომ მაჩვენებელი შემცირებულია 40%-ით). </w:t>
      </w:r>
    </w:p>
    <w:p w:rsidR="00724379" w:rsidRDefault="00724379" w:rsidP="00724379">
      <w:pPr>
        <w:spacing w:after="0"/>
        <w:jc w:val="both"/>
        <w:rPr>
          <w:rFonts w:ascii="Sylfaen" w:hAnsi="Sylfaen"/>
          <w:lang w:val="ka-GE"/>
        </w:rPr>
      </w:pPr>
      <w:r>
        <w:rPr>
          <w:rFonts w:ascii="Sylfaen" w:hAnsi="Sylfaen"/>
          <w:lang w:val="ka-GE"/>
        </w:rPr>
        <w:t>სურათი 40. კიბოთი გარდაცვლილთა საერთო რაოდენობის</w:t>
      </w:r>
      <w:r w:rsidRPr="007E55C5">
        <w:rPr>
          <w:rFonts w:ascii="Sylfaen" w:hAnsi="Sylfaen"/>
          <w:lang w:val="ka-GE"/>
        </w:rPr>
        <w:t xml:space="preserve"> (total death)</w:t>
      </w:r>
      <w:r>
        <w:rPr>
          <w:rFonts w:ascii="Sylfaen" w:hAnsi="Sylfaen"/>
          <w:lang w:val="ka-GE"/>
        </w:rPr>
        <w:t xml:space="preserve">, კიბოთი სიკვდილიანობის მაჩვენებლისა (death rate, </w:t>
      </w:r>
      <w:r w:rsidRPr="007E55C5">
        <w:rPr>
          <w:rFonts w:ascii="Sylfaen" w:hAnsi="Sylfaen"/>
          <w:lang w:val="ka-GE"/>
        </w:rPr>
        <w:t>all gases)</w:t>
      </w:r>
      <w:r>
        <w:rPr>
          <w:rFonts w:ascii="Sylfaen" w:hAnsi="Sylfaen"/>
          <w:lang w:val="ka-GE"/>
        </w:rPr>
        <w:t xml:space="preserve"> და ასაკ-სტანდარტიზებული </w:t>
      </w:r>
      <w:r w:rsidRPr="007E55C5">
        <w:rPr>
          <w:rFonts w:ascii="Sylfaen" w:hAnsi="Sylfaen"/>
          <w:lang w:val="ka-GE"/>
        </w:rPr>
        <w:t xml:space="preserve">(age standardized death rate) </w:t>
      </w:r>
      <w:r>
        <w:rPr>
          <w:rFonts w:ascii="Sylfaen" w:hAnsi="Sylfaen"/>
          <w:lang w:val="ka-GE"/>
        </w:rPr>
        <w:t>სიკვდილიანობის მაჩვენებლის ინდექსი</w:t>
      </w:r>
    </w:p>
    <w:p w:rsidR="00724379" w:rsidRDefault="00724379" w:rsidP="00724379">
      <w:pPr>
        <w:spacing w:after="0"/>
        <w:jc w:val="both"/>
        <w:rPr>
          <w:rFonts w:ascii="Sylfaen" w:hAnsi="Sylfaen"/>
          <w:lang w:val="ka-GE"/>
        </w:rPr>
      </w:pPr>
      <w:r>
        <w:rPr>
          <w:noProof/>
        </w:rPr>
        <w:drawing>
          <wp:inline distT="0" distB="0" distL="0" distR="0" wp14:anchorId="7A0793D8" wp14:editId="0FBFC945">
            <wp:extent cx="6115050" cy="2314575"/>
            <wp:effectExtent l="19050" t="19050" r="19050" b="28575"/>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15050" cy="2314575"/>
                    </a:xfrm>
                    <a:prstGeom prst="rect">
                      <a:avLst/>
                    </a:prstGeom>
                    <a:ln w="12700">
                      <a:solidFill>
                        <a:srgbClr val="0070C0"/>
                      </a:solidFill>
                    </a:ln>
                  </pic:spPr>
                </pic:pic>
              </a:graphicData>
            </a:graphic>
          </wp:inline>
        </w:drawing>
      </w:r>
    </w:p>
    <w:p w:rsidR="00724379" w:rsidRDefault="00724379" w:rsidP="00724379">
      <w:pPr>
        <w:spacing w:after="0"/>
        <w:jc w:val="both"/>
        <w:rPr>
          <w:rFonts w:ascii="Sylfaen" w:hAnsi="Sylfaen"/>
          <w:lang w:val="ka-GE"/>
        </w:rPr>
      </w:pPr>
    </w:p>
    <w:p w:rsidR="00724379" w:rsidRDefault="00724379" w:rsidP="00724379">
      <w:pPr>
        <w:spacing w:after="0" w:line="276" w:lineRule="auto"/>
        <w:jc w:val="both"/>
        <w:rPr>
          <w:rFonts w:ascii="Sylfaen" w:hAnsi="Sylfaen"/>
          <w:lang w:val="ka-GE"/>
        </w:rPr>
      </w:pPr>
      <w:r>
        <w:rPr>
          <w:rFonts w:ascii="Sylfaen" w:hAnsi="Sylfaen"/>
          <w:lang w:val="ka-GE"/>
        </w:rPr>
        <w:t>პრაქტიკაში უფრო ხშირად კიბოს ასაკ-სტადარტიზებული სიკვდილიანობის მაჩვენებელი გამოიყენება, რომელიც, როგორც ზემოთ აღინიშნა, მოდელირების გზით აკორექტირებს იმ ცვლილებებს</w:t>
      </w:r>
      <w:r>
        <w:rPr>
          <w:rFonts w:ascii="Sylfaen" w:hAnsi="Sylfaen"/>
        </w:rPr>
        <w:t>,</w:t>
      </w:r>
      <w:r>
        <w:rPr>
          <w:rFonts w:ascii="Sylfaen" w:hAnsi="Sylfaen"/>
          <w:lang w:val="ka-GE"/>
        </w:rPr>
        <w:t xml:space="preserve"> რომელიც მსოფლიო მოსახლეობის ზრდასა და ასაკობრივი სტრუქტურის შეცვლას უკავშირდება. 2016 წელს მეტ წილ ქვეყნებში ყველა ლოკალიზაციის კიბოს ასაკ-სტანდარტიზებული სიკვდილიანობის მაჩვენებელი 100000 მოსახლეზე 50-დან 150-მდე </w:t>
      </w:r>
      <w:r w:rsidRPr="00992E1C">
        <w:rPr>
          <w:rFonts w:ascii="Sylfaen" w:hAnsi="Sylfaen"/>
          <w:lang w:val="ka-GE"/>
        </w:rPr>
        <w:t>ვარირებდა (სურათი 41). მაღალ-განვითარებულ</w:t>
      </w:r>
      <w:r>
        <w:rPr>
          <w:rFonts w:ascii="Sylfaen" w:hAnsi="Sylfaen"/>
          <w:lang w:val="ka-GE"/>
        </w:rPr>
        <w:t xml:space="preserve"> ქვეყნებში - ჩრდილოეთ ამერიკა, ევროპა და ავსტრალია - მაჩვენებელი მითითებული ინტერვალის ზედა ზღვარზე (100 000 მოსახლეზე 150) იყო, ასეთივე მაღალი სიკვდილიანობით გამოირჩეოდა სუბ-საჰარული აფრიკის რამდენიმე ქვეყანა; ხოლო ლათინური ამერიკისა და აზიის მეტ წილ ქვეყნებში, ასევე აფრიკის ზოგიერთ ქვეყანაში კიბოს ასაკ-სტანდარტიზებული სიკვდილიანობა შედარებით დაბალი იყო და 100 000 მოსახლეზე 50-დან 125-მდე ვარირებდა.</w:t>
      </w:r>
    </w:p>
    <w:p w:rsidR="00724379" w:rsidRDefault="00724379" w:rsidP="00724379">
      <w:pPr>
        <w:spacing w:after="0"/>
        <w:jc w:val="both"/>
        <w:rPr>
          <w:rFonts w:ascii="Sylfaen" w:hAnsi="Sylfaen"/>
          <w:lang w:val="ka-GE"/>
        </w:rPr>
      </w:pPr>
    </w:p>
    <w:p w:rsidR="00724379" w:rsidRDefault="00724379" w:rsidP="00724379">
      <w:pPr>
        <w:jc w:val="both"/>
        <w:rPr>
          <w:rFonts w:ascii="Sylfaen" w:hAnsi="Sylfaen"/>
          <w:lang w:val="ka-GE"/>
        </w:rPr>
      </w:pPr>
      <w:r>
        <w:rPr>
          <w:rFonts w:ascii="Sylfaen" w:hAnsi="Sylfaen"/>
          <w:lang w:val="ka-GE"/>
        </w:rPr>
        <w:lastRenderedPageBreak/>
        <w:t>სურათი 41. კიბოთი სიკვდილიანობის ასაკ-სტანდარტიზებული მაჩვენებლები ქვეყნების მიხედვით, 2016</w:t>
      </w:r>
    </w:p>
    <w:p w:rsidR="00724379" w:rsidRDefault="00724379" w:rsidP="00724379">
      <w:pPr>
        <w:jc w:val="center"/>
        <w:rPr>
          <w:rFonts w:ascii="Sylfaen" w:hAnsi="Sylfaen"/>
          <w:lang w:val="ka-GE"/>
        </w:rPr>
      </w:pPr>
      <w:r>
        <w:rPr>
          <w:noProof/>
        </w:rPr>
        <w:drawing>
          <wp:inline distT="0" distB="0" distL="0" distR="0" wp14:anchorId="4B992306" wp14:editId="4CE1778B">
            <wp:extent cx="5514975" cy="2724150"/>
            <wp:effectExtent l="19050" t="19050" r="28575" b="1905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14975" cy="2724150"/>
                    </a:xfrm>
                    <a:prstGeom prst="rect">
                      <a:avLst/>
                    </a:prstGeom>
                    <a:ln w="12700">
                      <a:solidFill>
                        <a:srgbClr val="0070C0"/>
                      </a:solidFill>
                    </a:ln>
                  </pic:spPr>
                </pic:pic>
              </a:graphicData>
            </a:graphic>
          </wp:inline>
        </w:drawing>
      </w:r>
    </w:p>
    <w:p w:rsidR="00724379" w:rsidRDefault="00724379" w:rsidP="00724379">
      <w:pPr>
        <w:jc w:val="both"/>
        <w:rPr>
          <w:rFonts w:ascii="Sylfaen" w:hAnsi="Sylfaen"/>
          <w:lang w:val="ka-GE"/>
        </w:rPr>
      </w:pPr>
      <w:r>
        <w:rPr>
          <w:rFonts w:ascii="Sylfaen" w:hAnsi="Sylfaen"/>
          <w:lang w:val="ka-GE"/>
        </w:rPr>
        <w:t>სურათი 42. კიბოს ასაკ-სტანდარტიზებული სიკვდილიანობის მაჩვენებლის (100000 მოსახლეზე) დინამიკა რეგიონების მიხედვით, 1990-2016</w:t>
      </w:r>
    </w:p>
    <w:p w:rsidR="00724379" w:rsidRPr="00EF54ED" w:rsidRDefault="00724379" w:rsidP="00724379">
      <w:pPr>
        <w:jc w:val="center"/>
        <w:rPr>
          <w:rFonts w:ascii="Sylfaen" w:hAnsi="Sylfaen"/>
          <w:lang w:val="ka-GE"/>
        </w:rPr>
      </w:pPr>
      <w:r>
        <w:rPr>
          <w:noProof/>
        </w:rPr>
        <w:drawing>
          <wp:inline distT="0" distB="0" distL="0" distR="0" wp14:anchorId="00B3EB96" wp14:editId="1161960A">
            <wp:extent cx="5800725" cy="2714625"/>
            <wp:effectExtent l="19050" t="19050" r="28575" b="2857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00725" cy="2714625"/>
                    </a:xfrm>
                    <a:prstGeom prst="rect">
                      <a:avLst/>
                    </a:prstGeom>
                    <a:ln w="12700">
                      <a:solidFill>
                        <a:srgbClr val="0070C0"/>
                      </a:solidFill>
                    </a:ln>
                  </pic:spPr>
                </pic:pic>
              </a:graphicData>
            </a:graphic>
          </wp:inline>
        </w:drawing>
      </w:r>
    </w:p>
    <w:p w:rsidR="00724379" w:rsidRDefault="00724379" w:rsidP="00724379">
      <w:pPr>
        <w:spacing w:line="276" w:lineRule="auto"/>
        <w:jc w:val="both"/>
        <w:rPr>
          <w:rFonts w:ascii="Sylfaen" w:hAnsi="Sylfaen"/>
          <w:noProof/>
          <w:lang w:val="ka-GE"/>
        </w:rPr>
      </w:pPr>
      <w:r>
        <w:rPr>
          <w:rFonts w:ascii="Sylfaen" w:hAnsi="Sylfaen"/>
          <w:noProof/>
          <w:lang w:val="ka-GE"/>
        </w:rPr>
        <w:t>აგდ-ით გამოწვეულ სიკვდილიანობაში კიბოს ხვედრითი წილი ევროპისა და ჩრდილოეთ ამერიკის მაღალგანვითარებულ ქვეყნებში მაღალია (25-30% და მეტი), ხოლო აფრიკისა და აზიის რეგიონებში - დაბალი (15-20%)</w:t>
      </w:r>
      <w:r>
        <w:rPr>
          <w:rStyle w:val="FootnoteReference"/>
          <w:rFonts w:ascii="Sylfaen" w:hAnsi="Sylfaen"/>
          <w:noProof/>
          <w:lang w:val="ka-GE"/>
        </w:rPr>
        <w:footnoteReference w:id="3"/>
      </w:r>
      <w:r>
        <w:rPr>
          <w:rFonts w:ascii="Sylfaen" w:hAnsi="Sylfaen"/>
          <w:noProof/>
          <w:lang w:val="ka-GE"/>
        </w:rPr>
        <w:t>; მიზეზი კომპლექსურია - ერთის მხრივ, მაღალგანვითარებულ ქვეყნების პოპულაციის დაბერება და, მეორეს მხრივ, დაბალი შემოსავლების ქვეყნებში გსდ-ით გამოწვეული ნაადრევი სიკვდილიანობის მაღალი პროცენტი.</w:t>
      </w:r>
    </w:p>
    <w:p w:rsidR="00724379" w:rsidRDefault="00724379" w:rsidP="00724379">
      <w:pPr>
        <w:spacing w:after="0" w:line="276" w:lineRule="auto"/>
        <w:jc w:val="both"/>
        <w:rPr>
          <w:rFonts w:ascii="Sylfaen" w:hAnsi="Sylfaen"/>
          <w:lang w:val="ka-GE"/>
        </w:rPr>
      </w:pPr>
      <w:r>
        <w:rPr>
          <w:rFonts w:ascii="Sylfaen" w:hAnsi="Sylfaen"/>
          <w:noProof/>
          <w:lang w:val="ka-GE"/>
        </w:rPr>
        <w:t xml:space="preserve">სურათი 43. </w:t>
      </w:r>
      <w:r>
        <w:rPr>
          <w:rFonts w:ascii="Sylfaen" w:hAnsi="Sylfaen"/>
          <w:lang w:val="ka-GE"/>
        </w:rPr>
        <w:t>კიბოს ხვედრითი წილი</w:t>
      </w:r>
      <w:r>
        <w:rPr>
          <w:rFonts w:ascii="Sylfaen" w:hAnsi="Sylfaen"/>
        </w:rPr>
        <w:t xml:space="preserve"> </w:t>
      </w:r>
      <w:r>
        <w:rPr>
          <w:rFonts w:ascii="Sylfaen" w:hAnsi="Sylfaen"/>
          <w:lang w:val="ka-GE"/>
        </w:rPr>
        <w:t>აგდ სიკვდილიანობაში EU15 ქვეყნებში, 2016</w:t>
      </w:r>
    </w:p>
    <w:p w:rsidR="00724379" w:rsidRDefault="00724379" w:rsidP="00724379">
      <w:pPr>
        <w:spacing w:line="276" w:lineRule="auto"/>
        <w:jc w:val="center"/>
        <w:rPr>
          <w:rFonts w:ascii="Sylfaen" w:hAnsi="Sylfaen"/>
          <w:lang w:val="ka-GE"/>
        </w:rPr>
      </w:pPr>
      <w:r w:rsidRPr="00C73AAC">
        <w:rPr>
          <w:rFonts w:ascii="Sylfaen" w:hAnsi="Sylfaen"/>
          <w:noProof/>
        </w:rPr>
        <w:lastRenderedPageBreak/>
        <w:drawing>
          <wp:inline distT="0" distB="0" distL="0" distR="0" wp14:anchorId="67C5A81E" wp14:editId="24CF6BDE">
            <wp:extent cx="5943600" cy="2457450"/>
            <wp:effectExtent l="0" t="0" r="0" b="0"/>
            <wp:docPr id="1043" name="Chart 10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724379" w:rsidRDefault="00724379" w:rsidP="00724379">
      <w:pPr>
        <w:spacing w:line="276" w:lineRule="auto"/>
        <w:jc w:val="both"/>
        <w:rPr>
          <w:rFonts w:ascii="Sylfaen" w:hAnsi="Sylfaen"/>
          <w:noProof/>
          <w:lang w:val="ka-GE"/>
        </w:rPr>
      </w:pPr>
    </w:p>
    <w:p w:rsidR="00724379" w:rsidRDefault="00724379" w:rsidP="00724379">
      <w:pPr>
        <w:spacing w:line="276" w:lineRule="auto"/>
        <w:jc w:val="both"/>
        <w:rPr>
          <w:rFonts w:ascii="Sylfaen" w:hAnsi="Sylfaen"/>
          <w:lang w:val="ka-GE"/>
        </w:rPr>
      </w:pPr>
      <w:r>
        <w:rPr>
          <w:rFonts w:ascii="Sylfaen" w:hAnsi="Sylfaen"/>
          <w:noProof/>
          <w:lang w:val="ka-GE"/>
        </w:rPr>
        <w:t xml:space="preserve">სურათი 44. </w:t>
      </w:r>
      <w:r>
        <w:rPr>
          <w:rFonts w:ascii="Sylfaen" w:hAnsi="Sylfaen"/>
          <w:lang w:val="ka-GE"/>
        </w:rPr>
        <w:t>კიბოს ხვედრითი წილი აგდ სიკვდილიანობაში EU13 ქვეყნებში, 2016</w:t>
      </w:r>
    </w:p>
    <w:p w:rsidR="00724379" w:rsidRDefault="00724379" w:rsidP="00724379">
      <w:pPr>
        <w:spacing w:line="276" w:lineRule="auto"/>
        <w:jc w:val="both"/>
        <w:rPr>
          <w:rFonts w:ascii="Sylfaen" w:hAnsi="Sylfaen"/>
          <w:lang w:val="ka-GE"/>
        </w:rPr>
      </w:pPr>
      <w:r w:rsidRPr="007733EF">
        <w:rPr>
          <w:rFonts w:ascii="Sylfaen" w:hAnsi="Sylfaen"/>
          <w:noProof/>
        </w:rPr>
        <w:drawing>
          <wp:inline distT="0" distB="0" distL="0" distR="0" wp14:anchorId="4469E117" wp14:editId="2CED0719">
            <wp:extent cx="6115050" cy="2219325"/>
            <wp:effectExtent l="0" t="0" r="0" b="9525"/>
            <wp:docPr id="1044" name="Chart 10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724379" w:rsidRDefault="00724379" w:rsidP="00724379">
      <w:pPr>
        <w:spacing w:after="0" w:line="276" w:lineRule="auto"/>
        <w:jc w:val="both"/>
        <w:rPr>
          <w:rFonts w:ascii="Sylfaen" w:hAnsi="Sylfaen"/>
          <w:noProof/>
          <w:lang w:val="ka-GE"/>
        </w:rPr>
      </w:pPr>
    </w:p>
    <w:p w:rsidR="00724379" w:rsidRDefault="00724379" w:rsidP="00724379">
      <w:pPr>
        <w:spacing w:after="0" w:line="276" w:lineRule="auto"/>
        <w:jc w:val="both"/>
        <w:rPr>
          <w:rFonts w:ascii="Sylfaen" w:hAnsi="Sylfaen"/>
          <w:noProof/>
          <w:lang w:val="ka-GE"/>
        </w:rPr>
      </w:pPr>
    </w:p>
    <w:p w:rsidR="00724379" w:rsidRDefault="00724379" w:rsidP="00724379">
      <w:pPr>
        <w:spacing w:after="0" w:line="276" w:lineRule="auto"/>
        <w:jc w:val="both"/>
        <w:rPr>
          <w:rFonts w:ascii="Sylfaen" w:hAnsi="Sylfaen"/>
          <w:noProof/>
          <w:lang w:val="ka-GE"/>
        </w:rPr>
      </w:pPr>
    </w:p>
    <w:p w:rsidR="00724379" w:rsidRDefault="00724379" w:rsidP="00724379">
      <w:pPr>
        <w:spacing w:after="0" w:line="276" w:lineRule="auto"/>
        <w:jc w:val="both"/>
        <w:rPr>
          <w:rFonts w:ascii="Sylfaen" w:hAnsi="Sylfaen"/>
          <w:noProof/>
          <w:lang w:val="ka-GE"/>
        </w:rPr>
      </w:pPr>
    </w:p>
    <w:p w:rsidR="00724379" w:rsidRDefault="00724379" w:rsidP="00724379">
      <w:pPr>
        <w:spacing w:after="0" w:line="276" w:lineRule="auto"/>
        <w:jc w:val="both"/>
        <w:rPr>
          <w:rFonts w:ascii="Sylfaen" w:hAnsi="Sylfaen"/>
          <w:noProof/>
          <w:lang w:val="ka-GE"/>
        </w:rPr>
      </w:pPr>
    </w:p>
    <w:p w:rsidR="00724379" w:rsidRDefault="00724379" w:rsidP="00724379">
      <w:pPr>
        <w:spacing w:after="0" w:line="276" w:lineRule="auto"/>
        <w:jc w:val="both"/>
        <w:rPr>
          <w:rFonts w:ascii="Sylfaen" w:hAnsi="Sylfaen"/>
          <w:noProof/>
          <w:lang w:val="ka-GE"/>
        </w:rPr>
      </w:pPr>
    </w:p>
    <w:p w:rsidR="00724379" w:rsidRDefault="00724379" w:rsidP="00724379">
      <w:pPr>
        <w:spacing w:after="0" w:line="276" w:lineRule="auto"/>
        <w:jc w:val="both"/>
        <w:rPr>
          <w:rFonts w:ascii="Sylfaen" w:hAnsi="Sylfaen"/>
          <w:noProof/>
          <w:lang w:val="ka-GE"/>
        </w:rPr>
      </w:pPr>
    </w:p>
    <w:p w:rsidR="00724379" w:rsidRDefault="00724379" w:rsidP="00724379">
      <w:pPr>
        <w:spacing w:after="0" w:line="276" w:lineRule="auto"/>
        <w:jc w:val="both"/>
        <w:rPr>
          <w:rFonts w:ascii="Sylfaen" w:hAnsi="Sylfaen"/>
          <w:noProof/>
          <w:lang w:val="ka-GE"/>
        </w:rPr>
      </w:pPr>
    </w:p>
    <w:p w:rsidR="00724379" w:rsidRDefault="00724379" w:rsidP="00724379">
      <w:pPr>
        <w:spacing w:after="0" w:line="276" w:lineRule="auto"/>
        <w:jc w:val="both"/>
        <w:rPr>
          <w:rFonts w:ascii="Sylfaen" w:hAnsi="Sylfaen"/>
          <w:noProof/>
          <w:lang w:val="ka-GE"/>
        </w:rPr>
      </w:pPr>
    </w:p>
    <w:p w:rsidR="00724379" w:rsidRDefault="00724379" w:rsidP="00724379">
      <w:pPr>
        <w:spacing w:after="0" w:line="276" w:lineRule="auto"/>
        <w:jc w:val="both"/>
        <w:rPr>
          <w:rFonts w:ascii="Sylfaen" w:hAnsi="Sylfaen"/>
          <w:noProof/>
          <w:lang w:val="ka-GE"/>
        </w:rPr>
      </w:pPr>
    </w:p>
    <w:p w:rsidR="00724379" w:rsidRDefault="00724379" w:rsidP="00724379">
      <w:pPr>
        <w:spacing w:after="0" w:line="276" w:lineRule="auto"/>
        <w:jc w:val="both"/>
        <w:rPr>
          <w:rFonts w:ascii="Sylfaen" w:hAnsi="Sylfaen"/>
          <w:noProof/>
          <w:lang w:val="ka-GE"/>
        </w:rPr>
      </w:pPr>
    </w:p>
    <w:p w:rsidR="00724379" w:rsidRDefault="00724379" w:rsidP="00724379">
      <w:pPr>
        <w:spacing w:after="0" w:line="276" w:lineRule="auto"/>
        <w:jc w:val="both"/>
        <w:rPr>
          <w:rFonts w:ascii="Sylfaen" w:hAnsi="Sylfaen"/>
          <w:lang w:val="ka-GE"/>
        </w:rPr>
      </w:pPr>
      <w:r>
        <w:rPr>
          <w:rFonts w:ascii="Sylfaen" w:hAnsi="Sylfaen"/>
          <w:noProof/>
          <w:lang w:val="ka-GE"/>
        </w:rPr>
        <w:t xml:space="preserve">სურათი 45. </w:t>
      </w:r>
      <w:r>
        <w:rPr>
          <w:rFonts w:ascii="Sylfaen" w:hAnsi="Sylfaen"/>
          <w:lang w:val="ka-GE"/>
        </w:rPr>
        <w:t xml:space="preserve">კიბოს ხვედრითი წილი აგდ სიკვდილიანობაში, ჩრდილოეთ ამერიკა, 2016 </w:t>
      </w:r>
    </w:p>
    <w:p w:rsidR="00724379" w:rsidRDefault="00724379" w:rsidP="00724379">
      <w:pPr>
        <w:spacing w:line="276" w:lineRule="auto"/>
        <w:jc w:val="both"/>
        <w:rPr>
          <w:rFonts w:ascii="Sylfaen" w:hAnsi="Sylfaen"/>
          <w:lang w:val="ka-GE"/>
        </w:rPr>
      </w:pPr>
      <w:r w:rsidRPr="005A5437">
        <w:rPr>
          <w:rFonts w:ascii="Sylfaen" w:hAnsi="Sylfaen"/>
          <w:b/>
          <w:noProof/>
          <w:sz w:val="20"/>
          <w:szCs w:val="20"/>
        </w:rPr>
        <w:lastRenderedPageBreak/>
        <w:drawing>
          <wp:inline distT="0" distB="0" distL="0" distR="0" wp14:anchorId="1C361876" wp14:editId="62551A31">
            <wp:extent cx="6115050" cy="2152650"/>
            <wp:effectExtent l="0" t="0" r="0" b="0"/>
            <wp:docPr id="1045" name="Chart 10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24379" w:rsidRDefault="00724379" w:rsidP="00724379">
      <w:pPr>
        <w:spacing w:line="276" w:lineRule="auto"/>
        <w:jc w:val="both"/>
        <w:rPr>
          <w:rFonts w:ascii="Sylfaen" w:hAnsi="Sylfaen"/>
          <w:lang w:val="ka-GE"/>
        </w:rPr>
      </w:pPr>
    </w:p>
    <w:p w:rsidR="00724379" w:rsidRPr="00F55E46" w:rsidRDefault="00724379" w:rsidP="00724379">
      <w:pPr>
        <w:spacing w:after="0" w:line="276" w:lineRule="auto"/>
        <w:jc w:val="both"/>
        <w:rPr>
          <w:rFonts w:ascii="Sylfaen" w:hAnsi="Sylfaen"/>
          <w:lang w:val="ka-GE"/>
        </w:rPr>
      </w:pPr>
      <w:r>
        <w:rPr>
          <w:rFonts w:ascii="Sylfaen" w:hAnsi="Sylfaen"/>
          <w:noProof/>
          <w:lang w:val="ka-GE"/>
        </w:rPr>
        <w:t xml:space="preserve">სურათი 46. </w:t>
      </w:r>
      <w:r>
        <w:rPr>
          <w:rFonts w:ascii="Sylfaen" w:hAnsi="Sylfaen"/>
          <w:lang w:val="ka-GE"/>
        </w:rPr>
        <w:t xml:space="preserve">კიბოს ხვედრითი წილი აგდ სიკვდილიანობაში </w:t>
      </w:r>
      <w:r w:rsidRPr="00F55E46">
        <w:rPr>
          <w:rFonts w:ascii="Sylfaen" w:hAnsi="Sylfaen"/>
          <w:lang w:val="ka-GE"/>
        </w:rPr>
        <w:t>ყოფილი საბჭოთა</w:t>
      </w:r>
      <w:r w:rsidRPr="00F55E46">
        <w:rPr>
          <w:rFonts w:ascii="Sylfaen" w:hAnsi="Sylfaen"/>
        </w:rPr>
        <w:t xml:space="preserve"> </w:t>
      </w:r>
      <w:r w:rsidRPr="00F55E46">
        <w:rPr>
          <w:rFonts w:ascii="Sylfaen" w:hAnsi="Sylfaen"/>
          <w:lang w:val="ka-GE"/>
        </w:rPr>
        <w:t xml:space="preserve">კავშირის </w:t>
      </w:r>
      <w:r>
        <w:rPr>
          <w:rFonts w:ascii="Sylfaen" w:hAnsi="Sylfaen"/>
          <w:lang w:val="ka-GE"/>
        </w:rPr>
        <w:t>ქვეყნებში,</w:t>
      </w:r>
      <w:r w:rsidRPr="00F55E46">
        <w:rPr>
          <w:rFonts w:ascii="Sylfaen" w:hAnsi="Sylfaen"/>
          <w:lang w:val="ka-GE"/>
        </w:rPr>
        <w:t xml:space="preserve"> 2016 </w:t>
      </w:r>
    </w:p>
    <w:p w:rsidR="00724379" w:rsidRDefault="00724379" w:rsidP="00724379">
      <w:pPr>
        <w:spacing w:after="0" w:line="276" w:lineRule="auto"/>
        <w:jc w:val="both"/>
        <w:rPr>
          <w:rFonts w:ascii="Sylfaen" w:hAnsi="Sylfaen"/>
          <w:lang w:val="ka-GE"/>
        </w:rPr>
      </w:pPr>
      <w:r w:rsidRPr="00722A4B">
        <w:rPr>
          <w:rFonts w:ascii="Sylfaen" w:hAnsi="Sylfaen"/>
          <w:noProof/>
        </w:rPr>
        <w:drawing>
          <wp:inline distT="0" distB="0" distL="0" distR="0" wp14:anchorId="75DAB3E5" wp14:editId="6234602F">
            <wp:extent cx="6115050" cy="2286000"/>
            <wp:effectExtent l="0" t="0" r="0" b="0"/>
            <wp:docPr id="1046" name="Chart 10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24379" w:rsidRDefault="00724379" w:rsidP="00724379">
      <w:pPr>
        <w:spacing w:line="276" w:lineRule="auto"/>
        <w:jc w:val="both"/>
        <w:rPr>
          <w:rFonts w:ascii="Sylfaen" w:hAnsi="Sylfaen"/>
          <w:noProof/>
          <w:lang w:val="ka-GE"/>
        </w:rPr>
      </w:pPr>
    </w:p>
    <w:p w:rsidR="00724379" w:rsidRDefault="00724379" w:rsidP="00724379">
      <w:pPr>
        <w:spacing w:after="0" w:line="276" w:lineRule="auto"/>
        <w:jc w:val="both"/>
        <w:rPr>
          <w:rFonts w:ascii="Sylfaen" w:hAnsi="Sylfaen"/>
          <w:lang w:val="ka-GE"/>
        </w:rPr>
      </w:pPr>
      <w:r>
        <w:rPr>
          <w:rFonts w:ascii="Sylfaen" w:hAnsi="Sylfaen"/>
          <w:noProof/>
          <w:lang w:val="ka-GE"/>
        </w:rPr>
        <w:t xml:space="preserve">სურათი 47. </w:t>
      </w:r>
      <w:r>
        <w:rPr>
          <w:rFonts w:ascii="Sylfaen" w:hAnsi="Sylfaen"/>
          <w:lang w:val="ka-GE"/>
        </w:rPr>
        <w:t>კიბოს ხვედრითი წილი აგდ სიკვდილიანობაში, აზიის</w:t>
      </w:r>
      <w:r w:rsidRPr="00F55E46">
        <w:rPr>
          <w:rFonts w:ascii="Sylfaen" w:hAnsi="Sylfaen"/>
          <w:lang w:val="ka-GE"/>
        </w:rPr>
        <w:t xml:space="preserve"> </w:t>
      </w:r>
      <w:r>
        <w:rPr>
          <w:rFonts w:ascii="Sylfaen" w:hAnsi="Sylfaen"/>
          <w:lang w:val="ka-GE"/>
        </w:rPr>
        <w:t>ქვეყნები,</w:t>
      </w:r>
      <w:r w:rsidRPr="00F55E46">
        <w:rPr>
          <w:rFonts w:ascii="Sylfaen" w:hAnsi="Sylfaen"/>
          <w:lang w:val="ka-GE"/>
        </w:rPr>
        <w:t xml:space="preserve"> 2016 </w:t>
      </w:r>
    </w:p>
    <w:p w:rsidR="00724379" w:rsidRDefault="00724379" w:rsidP="00724379">
      <w:pPr>
        <w:spacing w:line="276" w:lineRule="auto"/>
        <w:jc w:val="both"/>
        <w:rPr>
          <w:rFonts w:ascii="Sylfaen" w:hAnsi="Sylfaen"/>
          <w:noProof/>
          <w:lang w:val="ka-GE"/>
        </w:rPr>
      </w:pPr>
      <w:r w:rsidRPr="00722A4B">
        <w:rPr>
          <w:rFonts w:ascii="Sylfaen" w:hAnsi="Sylfaen"/>
          <w:b/>
          <w:noProof/>
          <w:sz w:val="20"/>
          <w:szCs w:val="20"/>
        </w:rPr>
        <w:drawing>
          <wp:inline distT="0" distB="0" distL="0" distR="0" wp14:anchorId="0E5ADEFE" wp14:editId="4F2969AC">
            <wp:extent cx="6115050" cy="2286000"/>
            <wp:effectExtent l="0" t="0" r="0" b="0"/>
            <wp:docPr id="1047" name="Chart 10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724379" w:rsidRDefault="00724379" w:rsidP="00724379">
      <w:pPr>
        <w:spacing w:after="0" w:line="276" w:lineRule="auto"/>
        <w:jc w:val="both"/>
        <w:rPr>
          <w:rFonts w:ascii="Sylfaen" w:hAnsi="Sylfaen"/>
          <w:noProof/>
          <w:lang w:val="ka-GE"/>
        </w:rPr>
      </w:pPr>
    </w:p>
    <w:p w:rsidR="00724379" w:rsidRDefault="00724379" w:rsidP="00724379">
      <w:pPr>
        <w:spacing w:after="0" w:line="276" w:lineRule="auto"/>
        <w:jc w:val="both"/>
        <w:rPr>
          <w:rFonts w:ascii="Sylfaen" w:hAnsi="Sylfaen"/>
          <w:lang w:val="ka-GE"/>
        </w:rPr>
      </w:pPr>
      <w:r>
        <w:rPr>
          <w:rFonts w:ascii="Sylfaen" w:hAnsi="Sylfaen"/>
          <w:noProof/>
          <w:lang w:val="ka-GE"/>
        </w:rPr>
        <w:lastRenderedPageBreak/>
        <w:t xml:space="preserve">სურათი 48. </w:t>
      </w:r>
      <w:r>
        <w:rPr>
          <w:rFonts w:ascii="Sylfaen" w:hAnsi="Sylfaen"/>
          <w:lang w:val="ka-GE"/>
        </w:rPr>
        <w:t>კიბოს ხვედრითი წილი აგდ სიკვდილიანობაში, აფრიკის რეგიონი,</w:t>
      </w:r>
      <w:r w:rsidRPr="00F55E46">
        <w:rPr>
          <w:rFonts w:ascii="Sylfaen" w:hAnsi="Sylfaen"/>
          <w:lang w:val="ka-GE"/>
        </w:rPr>
        <w:t xml:space="preserve"> 2016 </w:t>
      </w:r>
    </w:p>
    <w:p w:rsidR="00724379" w:rsidRDefault="00724379" w:rsidP="00724379">
      <w:pPr>
        <w:spacing w:line="276" w:lineRule="auto"/>
        <w:jc w:val="both"/>
        <w:rPr>
          <w:rFonts w:ascii="Sylfaen" w:hAnsi="Sylfaen"/>
          <w:noProof/>
          <w:lang w:val="ka-GE"/>
        </w:rPr>
      </w:pPr>
      <w:r w:rsidRPr="000E68C1">
        <w:rPr>
          <w:rFonts w:ascii="Sylfaen" w:hAnsi="Sylfaen"/>
          <w:b/>
          <w:noProof/>
          <w:sz w:val="20"/>
          <w:szCs w:val="20"/>
        </w:rPr>
        <w:drawing>
          <wp:inline distT="0" distB="0" distL="0" distR="0" wp14:anchorId="02C7DC8E" wp14:editId="4864EABC">
            <wp:extent cx="6115050" cy="2085975"/>
            <wp:effectExtent l="0" t="0" r="0" b="9525"/>
            <wp:docPr id="1048" name="Chart 10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724379" w:rsidRDefault="00724379" w:rsidP="00724379">
      <w:pPr>
        <w:spacing w:line="276" w:lineRule="auto"/>
        <w:jc w:val="both"/>
        <w:rPr>
          <w:rFonts w:ascii="Sylfaen" w:hAnsi="Sylfaen"/>
          <w:noProof/>
          <w:lang w:val="ka-GE"/>
        </w:rPr>
      </w:pPr>
    </w:p>
    <w:p w:rsidR="00724379" w:rsidRDefault="00724379" w:rsidP="00724379">
      <w:pPr>
        <w:spacing w:line="276" w:lineRule="auto"/>
        <w:jc w:val="both"/>
        <w:rPr>
          <w:rFonts w:ascii="Sylfaen" w:hAnsi="Sylfaen"/>
          <w:noProof/>
          <w:lang w:val="ka-GE"/>
        </w:rPr>
      </w:pPr>
      <w:r>
        <w:rPr>
          <w:rFonts w:ascii="Sylfaen" w:hAnsi="Sylfaen"/>
          <w:noProof/>
          <w:lang w:val="ka-GE"/>
        </w:rPr>
        <w:t>49</w:t>
      </w:r>
      <w:r w:rsidRPr="00644B0D">
        <w:rPr>
          <w:rFonts w:ascii="Sylfaen" w:hAnsi="Sylfaen"/>
          <w:noProof/>
          <w:lang w:val="ka-GE"/>
        </w:rPr>
        <w:t xml:space="preserve">-ე სურათზე მოცემულია </w:t>
      </w:r>
      <w:r>
        <w:rPr>
          <w:rFonts w:ascii="Sylfaen" w:hAnsi="Sylfaen"/>
          <w:noProof/>
          <w:lang w:val="ka-GE"/>
        </w:rPr>
        <w:t>სხვადასხვა</w:t>
      </w:r>
      <w:r w:rsidRPr="00644B0D">
        <w:rPr>
          <w:rFonts w:ascii="Sylfaen" w:hAnsi="Sylfaen"/>
          <w:noProof/>
          <w:lang w:val="ka-GE"/>
        </w:rPr>
        <w:t xml:space="preserve"> ლოკალიზაციის კიბოს ასაკ-სტანდარტიზებული სიკვდილიანობის მაჩვენებელთა </w:t>
      </w:r>
      <w:r>
        <w:rPr>
          <w:rFonts w:ascii="Sylfaen" w:hAnsi="Sylfaen"/>
          <w:noProof/>
          <w:lang w:val="ka-GE"/>
        </w:rPr>
        <w:t xml:space="preserve">ტენდენციები, საიდანაც ჩანს კიბოს საერთო სიკვდილიანობის შემცირებაში მათი განსხვავებული წვლილი. მაგალითად, 100000 მოსახლეზე ტრაქეის, ბრონქებისა და ფილტვის კიბოს ასაკ-სტანდარტიზებული სიკვდილიანობის მაჩვენებელი მცირედით - 29-დან 26-მდე შემცირდა (ზოგიერთ ქვეყანაში უფრო მნიშვნელოვნად - 53-დან 41-მდე); განსაკუთრებული შემცირება ვლინდება კუჭის კიბოს შემთხვევაში 40%-ით: 22-დან 13-მდე  და საშვილოსნოს ყელისა და საყლაპავის კიბოს შემთხვევაში - თითქმის ერთი მესამედით. </w:t>
      </w:r>
    </w:p>
    <w:p w:rsidR="00724379" w:rsidRDefault="00724379" w:rsidP="00724379">
      <w:pPr>
        <w:jc w:val="both"/>
        <w:rPr>
          <w:rFonts w:ascii="Sylfaen" w:hAnsi="Sylfaen"/>
          <w:lang w:val="ka-GE"/>
        </w:rPr>
      </w:pPr>
      <w:r>
        <w:rPr>
          <w:rFonts w:ascii="Sylfaen" w:hAnsi="Sylfaen"/>
          <w:lang w:val="ka-GE"/>
        </w:rPr>
        <w:t>სურათი 49. ცალკეული ლოკალიზაციის კიბოს ასაკ-სტანდარტიზებული სიკვდილიანობის მაჩვენებელთა (100000 მოსახლეზე) ტენდენციები მსოფლიოში, 1990-2016</w:t>
      </w:r>
    </w:p>
    <w:p w:rsidR="00724379" w:rsidRPr="00DB4BEB" w:rsidRDefault="00724379" w:rsidP="00724379">
      <w:pPr>
        <w:jc w:val="center"/>
        <w:rPr>
          <w:rFonts w:ascii="Sylfaen" w:hAnsi="Sylfaen"/>
          <w:noProof/>
          <w:lang w:val="ka-GE"/>
        </w:rPr>
      </w:pPr>
      <w:r>
        <w:rPr>
          <w:noProof/>
        </w:rPr>
        <w:drawing>
          <wp:inline distT="0" distB="0" distL="0" distR="0" wp14:anchorId="628DFC26" wp14:editId="7C0F2414">
            <wp:extent cx="5753100" cy="2724150"/>
            <wp:effectExtent l="19050" t="19050" r="19050" b="1905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3100" cy="2724150"/>
                    </a:xfrm>
                    <a:prstGeom prst="rect">
                      <a:avLst/>
                    </a:prstGeom>
                    <a:ln w="12700">
                      <a:solidFill>
                        <a:schemeClr val="accent1"/>
                      </a:solidFill>
                    </a:ln>
                  </pic:spPr>
                </pic:pic>
              </a:graphicData>
            </a:graphic>
          </wp:inline>
        </w:drawing>
      </w:r>
    </w:p>
    <w:p w:rsidR="00724379" w:rsidRDefault="00724379" w:rsidP="00724379">
      <w:pPr>
        <w:spacing w:line="276" w:lineRule="auto"/>
        <w:jc w:val="both"/>
        <w:rPr>
          <w:rFonts w:ascii="Sylfaen" w:hAnsi="Sylfaen"/>
          <w:lang w:val="ka-GE"/>
        </w:rPr>
      </w:pPr>
      <w:r>
        <w:rPr>
          <w:rFonts w:ascii="Sylfaen" w:hAnsi="Sylfaen"/>
          <w:lang w:val="ka-GE"/>
        </w:rPr>
        <w:t xml:space="preserve">2016 წელს გლობალურად კიბოთი გამოწვეული სიკვდილიანობის მიხედვით პირველ ადგილზე  1.71 მილიონი შემთხვევით ტრაქეის, ბრონქებისა და ფილტვის კიბო იყო, რომელსაც გარდაცვალების თითქმის ორჯერ ნაკლები შემთხვევით (≈830 000 შემთხვევა) მოსდევდა კუჭის, კოლორექტული და ღვიძლის </w:t>
      </w:r>
      <w:r w:rsidRPr="00992E1C">
        <w:rPr>
          <w:rFonts w:ascii="Sylfaen" w:hAnsi="Sylfaen"/>
          <w:lang w:val="ka-GE"/>
        </w:rPr>
        <w:t>კიბო (სურათი 50). სურათზე</w:t>
      </w:r>
      <w:r>
        <w:rPr>
          <w:rFonts w:ascii="Sylfaen" w:hAnsi="Sylfaen"/>
          <w:lang w:val="ka-GE"/>
        </w:rPr>
        <w:t xml:space="preserve"> ცალკეული ლოკალიზაციის კიბო, </w:t>
      </w:r>
      <w:r>
        <w:rPr>
          <w:rFonts w:ascii="Sylfaen" w:hAnsi="Sylfaen"/>
          <w:lang w:val="ka-GE"/>
        </w:rPr>
        <w:lastRenderedPageBreak/>
        <w:t xml:space="preserve">რომელთა წლიური სიკვდილიანობა 100 000 შემთხვევაზე ნაკლები იყო, გაერთიანებულია „სხვა კიბოში.“ ტრაქეის, ბრონქებისა და ფილტვის კიბო ასევე პირველ ადგილზე იყო მაღალი და საშუალო შემოსავლების მქონე მეტ წილ ქვეყნებში, ხოლო დაბალ-შემოსავლიან ქვეყნებში კიბოთი სიკვდილიანობის წამყვანი მიზეზი ვარირებდა კოლორექტულ, ღვიძლის, საშვილოსნოს ყელის, კუჭის, ძუძუსა და პროსტატის ონკოლოგიურ დაავადებებს შორის. </w:t>
      </w:r>
    </w:p>
    <w:p w:rsidR="00724379" w:rsidRDefault="00724379" w:rsidP="00724379">
      <w:pPr>
        <w:jc w:val="both"/>
        <w:rPr>
          <w:rFonts w:ascii="Sylfaen" w:hAnsi="Sylfaen"/>
          <w:lang w:val="ka-GE"/>
        </w:rPr>
      </w:pPr>
      <w:r>
        <w:rPr>
          <w:rFonts w:ascii="Sylfaen" w:hAnsi="Sylfaen"/>
          <w:lang w:val="ka-GE"/>
        </w:rPr>
        <w:t>სურათი 50. ცალკეული ლოკალიზაციის კიბოთი გარდაცვლილთა საერთო რაოდენობა მსოფლიოში, 2016</w:t>
      </w:r>
    </w:p>
    <w:p w:rsidR="00724379" w:rsidRDefault="00724379" w:rsidP="00724379">
      <w:pPr>
        <w:jc w:val="center"/>
        <w:rPr>
          <w:rFonts w:ascii="Sylfaen" w:hAnsi="Sylfaen"/>
          <w:lang w:val="ka-GE"/>
        </w:rPr>
      </w:pPr>
      <w:r w:rsidRPr="00084D87">
        <w:rPr>
          <w:rFonts w:ascii="Sylfaen" w:hAnsi="Sylfaen"/>
          <w:noProof/>
        </w:rPr>
        <w:drawing>
          <wp:inline distT="0" distB="0" distL="0" distR="0" wp14:anchorId="6BE81125" wp14:editId="40E69846">
            <wp:extent cx="6115050" cy="2924175"/>
            <wp:effectExtent l="0" t="0" r="0" b="9525"/>
            <wp:docPr id="1050" name="Chart 10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24379" w:rsidRPr="005D7AAC" w:rsidRDefault="00724379" w:rsidP="00724379">
      <w:pPr>
        <w:spacing w:line="276" w:lineRule="auto"/>
        <w:jc w:val="both"/>
        <w:rPr>
          <w:rFonts w:ascii="Sylfaen" w:hAnsi="Sylfaen"/>
          <w:lang w:val="ka-GE"/>
        </w:rPr>
      </w:pPr>
      <w:r>
        <w:rPr>
          <w:rFonts w:ascii="Sylfaen" w:hAnsi="Sylfaen"/>
          <w:lang w:val="ka-GE"/>
        </w:rPr>
        <w:t>უნდა აღინიშნოს, რომ ცალკეული ლოკალიზაციის კიბოს პროპორციული სიკვდილიანობა (პროცენტი კიბოთი გარდაცვლილთა საერთო რაოდენობიდან) წლების მიხედვით მეტ-ნაკლებად სტაბილურია,  რამდენიმე გამონაკლისს წარმოადგენს კუჭის (13.8%-დან შემცირდა</w:t>
      </w:r>
      <w:r>
        <w:rPr>
          <w:rFonts w:ascii="Sylfaen" w:hAnsi="Sylfaen"/>
        </w:rPr>
        <w:t xml:space="preserve"> </w:t>
      </w:r>
      <w:r>
        <w:rPr>
          <w:rFonts w:ascii="Sylfaen" w:hAnsi="Sylfaen"/>
          <w:lang w:val="ka-GE"/>
        </w:rPr>
        <w:t>9.4%-მდე), საყლაპავის (5.7%-დან შემცირდა</w:t>
      </w:r>
      <w:r>
        <w:rPr>
          <w:rFonts w:ascii="Sylfaen" w:hAnsi="Sylfaen"/>
        </w:rPr>
        <w:t xml:space="preserve"> </w:t>
      </w:r>
      <w:r>
        <w:rPr>
          <w:rFonts w:ascii="Sylfaen" w:hAnsi="Sylfaen"/>
          <w:lang w:val="ka-GE"/>
        </w:rPr>
        <w:t>4.7%-მდე), ღვიძლის (8.2%-დან გაიზარდა</w:t>
      </w:r>
      <w:r>
        <w:rPr>
          <w:rFonts w:ascii="Sylfaen" w:hAnsi="Sylfaen"/>
        </w:rPr>
        <w:t xml:space="preserve"> </w:t>
      </w:r>
      <w:r>
        <w:rPr>
          <w:rFonts w:ascii="Sylfaen" w:hAnsi="Sylfaen"/>
          <w:lang w:val="ka-GE"/>
        </w:rPr>
        <w:t>9.3-მდე) და პანკრეასის (3.6%-დან გაიზარდა 4.6%-მდე) კიბო.</w:t>
      </w:r>
    </w:p>
    <w:p w:rsidR="00724379" w:rsidRDefault="00724379" w:rsidP="00724379">
      <w:pPr>
        <w:jc w:val="both"/>
        <w:rPr>
          <w:rFonts w:ascii="Sylfaen" w:hAnsi="Sylfaen"/>
          <w:b/>
          <w:sz w:val="24"/>
          <w:szCs w:val="24"/>
          <w:lang w:val="ka-GE"/>
        </w:rPr>
      </w:pPr>
      <w:r w:rsidRPr="001F03E7">
        <w:rPr>
          <w:rFonts w:ascii="Sylfaen" w:hAnsi="Sylfaen"/>
          <w:b/>
          <w:sz w:val="24"/>
          <w:szCs w:val="24"/>
          <w:lang w:val="ka-GE"/>
        </w:rPr>
        <w:t>კიბოს სიკვდილიანობა ასაკობრივი ჯგუფების მიხედვით</w:t>
      </w:r>
    </w:p>
    <w:p w:rsidR="00724379" w:rsidRDefault="00724379" w:rsidP="00724379">
      <w:pPr>
        <w:spacing w:line="276" w:lineRule="auto"/>
        <w:jc w:val="both"/>
        <w:rPr>
          <w:rFonts w:ascii="Sylfaen" w:hAnsi="Sylfaen"/>
          <w:lang w:val="ka-GE"/>
        </w:rPr>
      </w:pPr>
      <w:r w:rsidRPr="003960F0">
        <w:rPr>
          <w:rFonts w:ascii="Sylfaen" w:hAnsi="Sylfaen"/>
          <w:lang w:val="ka-GE"/>
        </w:rPr>
        <w:t>კიბოს სიკვდილიანობა</w:t>
      </w:r>
      <w:r>
        <w:rPr>
          <w:rFonts w:ascii="Sylfaen" w:hAnsi="Sylfaen"/>
          <w:lang w:val="ka-GE"/>
        </w:rPr>
        <w:t xml:space="preserve"> </w:t>
      </w:r>
      <w:r w:rsidRPr="003960F0">
        <w:rPr>
          <w:rFonts w:ascii="Sylfaen" w:hAnsi="Sylfaen"/>
          <w:lang w:val="ka-GE"/>
        </w:rPr>
        <w:t>მაღალია იმ ასაკობრივ ჯგუფებში, სადაც ავადობა მაღალია - სიკვდილიანობა მკვეთრად მატულობს 50 წლის ასაკის ზემოთ; კიბოთი გარდაცვლილთა ხვედრითი წილი ყველაზე მაღალი 70 წლის ასაკზე უფროს მოსახლეობაშია</w:t>
      </w:r>
      <w:r>
        <w:rPr>
          <w:rFonts w:ascii="Sylfaen" w:hAnsi="Sylfaen"/>
          <w:lang w:val="ka-GE"/>
        </w:rPr>
        <w:t xml:space="preserve"> </w:t>
      </w:r>
      <w:r w:rsidRPr="003960F0">
        <w:rPr>
          <w:rFonts w:ascii="Sylfaen" w:hAnsi="Sylfaen"/>
          <w:lang w:val="ka-GE"/>
        </w:rPr>
        <w:t xml:space="preserve">(44%), რომელსაც 50-69 წლების ასაკობრივი ჯგუფი მოსდევს </w:t>
      </w:r>
      <w:r>
        <w:rPr>
          <w:rFonts w:ascii="Sylfaen" w:hAnsi="Sylfaen"/>
          <w:lang w:val="ka-GE"/>
        </w:rPr>
        <w:t>(43%)</w:t>
      </w:r>
      <w:r w:rsidRPr="003960F0">
        <w:rPr>
          <w:rFonts w:ascii="Sylfaen" w:hAnsi="Sylfaen"/>
          <w:lang w:val="ka-GE"/>
        </w:rPr>
        <w:t>. სიკვდილიანობის ასაკობრივი განაწილება გასული საუკუნის 90-იან წლებთან შედარებით გარკვეულწილად შეიცვალა</w:t>
      </w:r>
      <w:r>
        <w:rPr>
          <w:rFonts w:ascii="Sylfaen" w:hAnsi="Sylfaen"/>
          <w:lang w:val="ka-GE"/>
        </w:rPr>
        <w:t>;</w:t>
      </w:r>
      <w:r w:rsidRPr="003960F0">
        <w:rPr>
          <w:rFonts w:ascii="Sylfaen" w:hAnsi="Sylfaen"/>
          <w:lang w:val="ka-GE"/>
        </w:rPr>
        <w:t xml:space="preserve"> კერძოდ, 70 წლის ასაკის ზემოთ გარდაცვლილთა ხვედრითი წილი 7%-ით გაიზარდა, მაშინ როცა 50-69 და 15-49 წლების ასაკობრივი ჯგუფებიდან თითოეულში სიკვდილიანობა 3-4%-ით შემცირდა. ბავშვებისა და 14 წლის ასაკამდე მოზარდების კიბოთი გამოწვეული სიკვდილიანობა კვლავ დიდ გამოწვევად რჩება, მიუხედავად იმისა, რომ ამ ასაკობრივ ჯგუფზე საერთო სიკვდილიანობის 1% მოდის, ეს ნიშნავს 80 000 სიცოცხლეს, რომელიც შეწყდა ბავშვობისა და/ან მოზარდობის პერიოდში. </w:t>
      </w:r>
    </w:p>
    <w:p w:rsidR="00724379" w:rsidRDefault="00724379" w:rsidP="00724379">
      <w:pPr>
        <w:jc w:val="both"/>
        <w:rPr>
          <w:rFonts w:ascii="Sylfaen" w:hAnsi="Sylfaen"/>
          <w:lang w:val="ka-GE"/>
        </w:rPr>
      </w:pPr>
      <w:r>
        <w:rPr>
          <w:rFonts w:ascii="Sylfaen" w:hAnsi="Sylfaen"/>
          <w:lang w:val="ka-GE"/>
        </w:rPr>
        <w:lastRenderedPageBreak/>
        <w:t>სურათი 51. კიბოთი  გარდაცვლილთა საერთო რაოდენობა ასაკობრივი ჯგუფების მიხედვით მსოფლიოში, 2016</w:t>
      </w:r>
    </w:p>
    <w:p w:rsidR="00724379" w:rsidRDefault="00724379" w:rsidP="00724379">
      <w:pPr>
        <w:jc w:val="both"/>
        <w:rPr>
          <w:rFonts w:ascii="Sylfaen" w:hAnsi="Sylfaen"/>
          <w:lang w:val="ka-GE"/>
        </w:rPr>
      </w:pPr>
      <w:r>
        <w:rPr>
          <w:noProof/>
        </w:rPr>
        <w:drawing>
          <wp:inline distT="0" distB="0" distL="0" distR="0" wp14:anchorId="696C9B8E" wp14:editId="06988688">
            <wp:extent cx="6115050" cy="2571750"/>
            <wp:effectExtent l="19050" t="19050" r="19050" b="1905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15050" cy="2571750"/>
                    </a:xfrm>
                    <a:prstGeom prst="rect">
                      <a:avLst/>
                    </a:prstGeom>
                    <a:ln w="12700">
                      <a:solidFill>
                        <a:srgbClr val="0070C0"/>
                      </a:solidFill>
                    </a:ln>
                  </pic:spPr>
                </pic:pic>
              </a:graphicData>
            </a:graphic>
          </wp:inline>
        </w:drawing>
      </w:r>
    </w:p>
    <w:p w:rsidR="00724379" w:rsidRDefault="00724379" w:rsidP="00724379">
      <w:pPr>
        <w:jc w:val="both"/>
        <w:rPr>
          <w:rFonts w:ascii="Sylfaen" w:hAnsi="Sylfaen"/>
          <w:lang w:val="ka-GE"/>
        </w:rPr>
      </w:pPr>
    </w:p>
    <w:p w:rsidR="00724379" w:rsidRPr="003D2E56" w:rsidRDefault="00724379" w:rsidP="00724379">
      <w:pPr>
        <w:jc w:val="both"/>
        <w:rPr>
          <w:rFonts w:ascii="Sylfaen" w:hAnsi="Sylfaen" w:cs="Sylfaen"/>
          <w:b/>
          <w:color w:val="002060"/>
          <w:sz w:val="24"/>
          <w:szCs w:val="24"/>
          <w:lang w:val="ka-GE"/>
        </w:rPr>
      </w:pPr>
      <w:r w:rsidRPr="003D2E56">
        <w:rPr>
          <w:rFonts w:ascii="Sylfaen" w:hAnsi="Sylfaen" w:cs="Sylfaen"/>
          <w:b/>
          <w:color w:val="002060"/>
          <w:sz w:val="24"/>
          <w:szCs w:val="24"/>
          <w:lang w:val="ka-GE"/>
        </w:rPr>
        <w:t xml:space="preserve">კიბოს </w:t>
      </w:r>
      <w:r>
        <w:rPr>
          <w:rFonts w:ascii="Sylfaen" w:hAnsi="Sylfaen" w:cs="Sylfaen"/>
          <w:b/>
          <w:color w:val="002060"/>
          <w:sz w:val="24"/>
          <w:szCs w:val="24"/>
          <w:lang w:val="ka-GE"/>
        </w:rPr>
        <w:t>გავრცელების თავისებურებები</w:t>
      </w:r>
      <w:r w:rsidRPr="003D2E56">
        <w:rPr>
          <w:rFonts w:ascii="Sylfaen" w:hAnsi="Sylfaen" w:cs="Sylfaen"/>
          <w:b/>
          <w:color w:val="002060"/>
          <w:sz w:val="24"/>
          <w:szCs w:val="24"/>
          <w:lang w:val="ka-GE"/>
        </w:rPr>
        <w:t xml:space="preserve"> საქართველოში, 2017</w:t>
      </w:r>
    </w:p>
    <w:p w:rsidR="00724379" w:rsidRDefault="00724379" w:rsidP="00724379">
      <w:pPr>
        <w:spacing w:after="0"/>
        <w:jc w:val="both"/>
        <w:rPr>
          <w:rFonts w:ascii="Sylfaen" w:hAnsi="Sylfaen" w:cs="Sylfaen"/>
          <w:lang w:val="ka-GE"/>
        </w:rPr>
      </w:pPr>
      <w:r>
        <w:rPr>
          <w:rFonts w:ascii="Sylfaen" w:hAnsi="Sylfaen" w:cs="Sylfaen"/>
          <w:lang w:val="ka-GE"/>
        </w:rPr>
        <w:t>ჯანმრთელობის მსოფლიო ორგანიზაციის შეფასებით 2016 წელს კიბოთი სიკვდილიანობა საქართველოში საერთი სიკვდილიანობის 12%-ს შეადგენდა.</w:t>
      </w:r>
    </w:p>
    <w:p w:rsidR="00724379" w:rsidRPr="00BF1062" w:rsidRDefault="00724379" w:rsidP="00724379">
      <w:pPr>
        <w:spacing w:after="0"/>
        <w:jc w:val="both"/>
        <w:rPr>
          <w:rFonts w:ascii="Sylfaen" w:hAnsi="Sylfaen" w:cs="Arial"/>
          <w:lang w:val="ka-GE"/>
        </w:rPr>
      </w:pPr>
      <w:r w:rsidRPr="009B7A23">
        <w:rPr>
          <w:rFonts w:ascii="Sylfaen" w:hAnsi="Sylfaen" w:cs="Sylfaen"/>
          <w:lang w:val="ka-GE"/>
        </w:rPr>
        <w:t>კიბოს</w:t>
      </w:r>
      <w:r w:rsidRPr="009B7A23">
        <w:rPr>
          <w:rFonts w:ascii="Arial" w:hAnsi="Arial" w:cs="Arial"/>
          <w:lang w:val="ka-GE"/>
        </w:rPr>
        <w:t xml:space="preserve"> </w:t>
      </w:r>
      <w:r w:rsidRPr="009B7A23">
        <w:rPr>
          <w:rFonts w:ascii="Sylfaen" w:hAnsi="Sylfaen" w:cs="Sylfaen"/>
          <w:lang w:val="ka-GE"/>
        </w:rPr>
        <w:t>პოპულაციური</w:t>
      </w:r>
      <w:r w:rsidRPr="009B7A23">
        <w:rPr>
          <w:rFonts w:ascii="Arial" w:hAnsi="Arial" w:cs="Arial"/>
          <w:lang w:val="ka-GE"/>
        </w:rPr>
        <w:t xml:space="preserve"> </w:t>
      </w:r>
      <w:r w:rsidRPr="009B7A23">
        <w:rPr>
          <w:rFonts w:ascii="Sylfaen" w:hAnsi="Sylfaen" w:cs="Sylfaen"/>
          <w:lang w:val="ka-GE"/>
        </w:rPr>
        <w:t>რეგისტრის</w:t>
      </w:r>
      <w:r w:rsidRPr="009B7A23">
        <w:rPr>
          <w:rFonts w:ascii="Arial" w:hAnsi="Arial" w:cs="Arial"/>
          <w:lang w:val="ka-GE"/>
        </w:rPr>
        <w:t xml:space="preserve"> </w:t>
      </w:r>
      <w:r w:rsidRPr="009B7A23">
        <w:rPr>
          <w:rFonts w:ascii="Sylfaen" w:hAnsi="Sylfaen" w:cs="Sylfaen"/>
          <w:lang w:val="ka-GE"/>
        </w:rPr>
        <w:t xml:space="preserve">მონაცემებით </w:t>
      </w:r>
      <w:r w:rsidRPr="00BF1062">
        <w:rPr>
          <w:rFonts w:ascii="Sylfaen" w:hAnsi="Sylfaen" w:cs="Arial"/>
          <w:lang w:val="ka-GE"/>
        </w:rPr>
        <w:t xml:space="preserve">2017 </w:t>
      </w:r>
      <w:r w:rsidRPr="00BF1062">
        <w:rPr>
          <w:rFonts w:ascii="Sylfaen" w:hAnsi="Sylfaen" w:cs="Sylfaen"/>
          <w:lang w:val="ka-GE"/>
        </w:rPr>
        <w:t>წელს</w:t>
      </w:r>
      <w:r w:rsidRPr="00BF1062">
        <w:rPr>
          <w:rFonts w:ascii="Sylfaen" w:hAnsi="Sylfaen" w:cs="Arial"/>
          <w:lang w:val="ka-GE"/>
        </w:rPr>
        <w:t xml:space="preserve"> </w:t>
      </w:r>
      <w:r w:rsidRPr="00BF1062">
        <w:rPr>
          <w:rFonts w:ascii="Sylfaen" w:hAnsi="Sylfaen" w:cs="Sylfaen"/>
          <w:lang w:val="ka-GE"/>
        </w:rPr>
        <w:t>საქართველოში</w:t>
      </w:r>
      <w:r w:rsidRPr="00BF1062">
        <w:rPr>
          <w:rFonts w:ascii="Sylfaen" w:hAnsi="Sylfaen" w:cs="Arial"/>
          <w:lang w:val="ka-GE"/>
        </w:rPr>
        <w:t xml:space="preserve"> </w:t>
      </w:r>
      <w:r w:rsidRPr="00BF1062">
        <w:rPr>
          <w:rFonts w:ascii="Sylfaen" w:hAnsi="Sylfaen" w:cs="Sylfaen"/>
          <w:lang w:val="ka-GE"/>
        </w:rPr>
        <w:t>ყველა</w:t>
      </w:r>
      <w:r w:rsidRPr="00BF1062">
        <w:rPr>
          <w:rFonts w:ascii="Sylfaen" w:hAnsi="Sylfaen" w:cs="Arial"/>
          <w:lang w:val="ka-GE"/>
        </w:rPr>
        <w:t xml:space="preserve"> </w:t>
      </w:r>
      <w:r w:rsidRPr="00BF1062">
        <w:rPr>
          <w:rFonts w:ascii="Sylfaen" w:hAnsi="Sylfaen" w:cs="Sylfaen"/>
          <w:lang w:val="ka-GE"/>
        </w:rPr>
        <w:t>ლოკალიზაციის</w:t>
      </w:r>
      <w:r w:rsidRPr="00BF1062">
        <w:rPr>
          <w:rFonts w:ascii="Sylfaen" w:hAnsi="Sylfaen" w:cs="Arial"/>
          <w:lang w:val="ka-GE"/>
        </w:rPr>
        <w:t xml:space="preserve"> </w:t>
      </w:r>
      <w:r w:rsidRPr="00BF1062">
        <w:rPr>
          <w:rFonts w:ascii="Sylfaen" w:hAnsi="Sylfaen" w:cs="Sylfaen"/>
          <w:lang w:val="ka-GE"/>
        </w:rPr>
        <w:t>კიბოს</w:t>
      </w:r>
      <w:r w:rsidRPr="00BF1062">
        <w:rPr>
          <w:rFonts w:ascii="Sylfaen" w:hAnsi="Sylfaen" w:cs="Arial"/>
          <w:lang w:val="ka-GE"/>
        </w:rPr>
        <w:t xml:space="preserve"> (in situ </w:t>
      </w:r>
      <w:r w:rsidRPr="00BF1062">
        <w:rPr>
          <w:rFonts w:ascii="Sylfaen" w:hAnsi="Sylfaen" w:cs="Sylfaen"/>
          <w:lang w:val="ka-GE"/>
        </w:rPr>
        <w:t>სიმსივნეების</w:t>
      </w:r>
      <w:r w:rsidRPr="00BF1062">
        <w:rPr>
          <w:rFonts w:ascii="Sylfaen" w:hAnsi="Sylfaen" w:cs="Arial"/>
          <w:lang w:val="ka-GE"/>
        </w:rPr>
        <w:t xml:space="preserve"> </w:t>
      </w:r>
      <w:r w:rsidRPr="00BF1062">
        <w:rPr>
          <w:rFonts w:ascii="Sylfaen" w:hAnsi="Sylfaen" w:cs="Sylfaen"/>
          <w:lang w:val="ka-GE"/>
        </w:rPr>
        <w:t>ჩათვლით</w:t>
      </w:r>
      <w:r w:rsidRPr="00BF1062">
        <w:rPr>
          <w:rFonts w:ascii="Sylfaen" w:hAnsi="Sylfaen" w:cs="Arial"/>
          <w:lang w:val="ka-GE"/>
        </w:rPr>
        <w:t>) 8</w:t>
      </w:r>
      <w:r>
        <w:rPr>
          <w:rFonts w:ascii="Sylfaen" w:hAnsi="Sylfaen" w:cs="Arial"/>
          <w:lang w:val="ka-GE"/>
        </w:rPr>
        <w:t xml:space="preserve"> </w:t>
      </w:r>
      <w:r w:rsidRPr="00BF1062">
        <w:rPr>
          <w:rFonts w:ascii="Sylfaen" w:hAnsi="Sylfaen" w:cs="Arial"/>
          <w:lang w:val="ka-GE"/>
        </w:rPr>
        <w:t xml:space="preserve">731 </w:t>
      </w:r>
      <w:r w:rsidRPr="00BF1062">
        <w:rPr>
          <w:rFonts w:ascii="Sylfaen" w:hAnsi="Sylfaen" w:cs="Sylfaen"/>
          <w:lang w:val="ka-GE"/>
        </w:rPr>
        <w:t>ახალი</w:t>
      </w:r>
      <w:r w:rsidRPr="00BF1062">
        <w:rPr>
          <w:rFonts w:ascii="Sylfaen" w:hAnsi="Sylfaen" w:cs="Arial"/>
          <w:lang w:val="ka-GE"/>
        </w:rPr>
        <w:t xml:space="preserve"> </w:t>
      </w:r>
      <w:r w:rsidRPr="00BF1062">
        <w:rPr>
          <w:rFonts w:ascii="Sylfaen" w:hAnsi="Sylfaen" w:cs="Sylfaen"/>
          <w:lang w:val="ka-GE"/>
        </w:rPr>
        <w:t>შემთხვევაა რეგისტრირებული</w:t>
      </w:r>
      <w:r w:rsidRPr="00BF1062">
        <w:rPr>
          <w:rFonts w:ascii="Sylfaen" w:hAnsi="Sylfaen" w:cs="Sylfaen"/>
        </w:rPr>
        <w:t xml:space="preserve"> </w:t>
      </w:r>
      <w:r w:rsidRPr="00BF1062">
        <w:rPr>
          <w:rFonts w:ascii="Sylfaen" w:hAnsi="Sylfaen" w:cs="Sylfaen"/>
          <w:lang w:val="ka-GE"/>
        </w:rPr>
        <w:t>მაჩვენებელი 100</w:t>
      </w:r>
      <w:r>
        <w:rPr>
          <w:rFonts w:ascii="Sylfaen" w:hAnsi="Sylfaen" w:cs="Sylfaen"/>
          <w:lang w:val="ka-GE"/>
        </w:rPr>
        <w:t xml:space="preserve"> </w:t>
      </w:r>
      <w:r w:rsidRPr="00BF1062">
        <w:rPr>
          <w:rFonts w:ascii="Sylfaen" w:hAnsi="Sylfaen" w:cs="Sylfaen"/>
          <w:lang w:val="ka-GE"/>
        </w:rPr>
        <w:t xml:space="preserve">000 მოსახლეზე </w:t>
      </w:r>
      <w:r>
        <w:rPr>
          <w:rFonts w:ascii="Sylfaen" w:hAnsi="Sylfaen" w:cs="Sylfaen"/>
          <w:lang w:val="ka-GE"/>
        </w:rPr>
        <w:t xml:space="preserve">- </w:t>
      </w:r>
      <w:r w:rsidRPr="00BF1062">
        <w:rPr>
          <w:rFonts w:ascii="Sylfaen" w:hAnsi="Sylfaen" w:cs="Sylfaen"/>
          <w:lang w:val="ka-GE"/>
        </w:rPr>
        <w:t>234.3.</w:t>
      </w:r>
      <w:r w:rsidRPr="00BF1062">
        <w:rPr>
          <w:rFonts w:ascii="Sylfaen" w:hAnsi="Sylfaen" w:cs="Arial"/>
          <w:lang w:val="ka-GE"/>
        </w:rPr>
        <w:t xml:space="preserve"> </w:t>
      </w:r>
    </w:p>
    <w:p w:rsidR="00724379" w:rsidRPr="00992E1C" w:rsidRDefault="00724379" w:rsidP="00724379">
      <w:pPr>
        <w:spacing w:after="120" w:line="240" w:lineRule="auto"/>
        <w:jc w:val="both"/>
        <w:rPr>
          <w:rFonts w:ascii="Sylfaen" w:hAnsi="Sylfaen" w:cs="Sylfaen"/>
          <w:shd w:val="clear" w:color="auto" w:fill="FFFFFF"/>
          <w:lang w:val="ka-GE"/>
        </w:rPr>
      </w:pPr>
      <w:r w:rsidRPr="00992E1C">
        <w:rPr>
          <w:rFonts w:ascii="Sylfaen" w:hAnsi="Sylfaen" w:cs="Sylfaen"/>
          <w:shd w:val="clear" w:color="auto" w:fill="FFFFFF"/>
          <w:lang w:val="ka-GE"/>
        </w:rPr>
        <w:t>სურათი 52. ყველა ლოკალიზაციის ონკოლოგიური დაავადებების ახალი შემთხვევები, საქართველო, 2007-2017 (სურათზე არსებულ მონაცემებში გათვალისწინებულია კიბოს in situ სტადია)</w:t>
      </w:r>
    </w:p>
    <w:p w:rsidR="00724379" w:rsidRPr="00ED2071" w:rsidRDefault="00724379" w:rsidP="00724379">
      <w:pPr>
        <w:jc w:val="center"/>
        <w:rPr>
          <w:rFonts w:ascii="Sylfaen" w:hAnsi="Sylfaen" w:cs="Sylfaen"/>
          <w:b/>
          <w:sz w:val="24"/>
          <w:szCs w:val="24"/>
          <w:lang w:val="ka-GE"/>
        </w:rPr>
      </w:pPr>
      <w:r w:rsidRPr="004E373E">
        <w:rPr>
          <w:rFonts w:ascii="Sylfaen" w:hAnsi="Sylfaen" w:cs="Sylfaen"/>
          <w:noProof/>
          <w:sz w:val="24"/>
          <w:szCs w:val="24"/>
          <w:shd w:val="clear" w:color="auto" w:fill="FFFFFF"/>
        </w:rPr>
        <w:drawing>
          <wp:inline distT="0" distB="0" distL="0" distR="0" wp14:anchorId="246DD11F" wp14:editId="23FC5134">
            <wp:extent cx="6115050" cy="2409825"/>
            <wp:effectExtent l="0" t="0" r="0" b="9525"/>
            <wp:docPr id="1052" name="Chart 10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24379" w:rsidRDefault="00724379" w:rsidP="00724379">
      <w:pPr>
        <w:spacing w:before="240" w:line="276" w:lineRule="auto"/>
        <w:jc w:val="both"/>
        <w:rPr>
          <w:rFonts w:ascii="Sylfaen" w:hAnsi="Sylfaen" w:cs="Sylfaen"/>
          <w:shd w:val="clear" w:color="auto" w:fill="FFFFFF"/>
          <w:lang w:val="ka-GE"/>
        </w:rPr>
      </w:pPr>
      <w:r w:rsidRPr="00E07C43">
        <w:rPr>
          <w:rFonts w:ascii="Sylfaen" w:hAnsi="Sylfaen" w:cs="Sylfaen"/>
          <w:shd w:val="clear" w:color="auto" w:fill="FFFFFF"/>
          <w:lang w:val="ka-GE"/>
        </w:rPr>
        <w:lastRenderedPageBreak/>
        <w:t>ყველა ლოკალიზაციის კიბოს ახალი შემთხვევების 5</w:t>
      </w:r>
      <w:r w:rsidRPr="00E07C43">
        <w:rPr>
          <w:rFonts w:ascii="Sylfaen" w:hAnsi="Sylfaen" w:cs="Sylfaen"/>
          <w:shd w:val="clear" w:color="auto" w:fill="FFFFFF"/>
        </w:rPr>
        <w:t>7</w:t>
      </w:r>
      <w:r w:rsidRPr="00E07C43">
        <w:rPr>
          <w:rFonts w:ascii="Sylfaen" w:hAnsi="Sylfaen" w:cs="Sylfaen"/>
          <w:shd w:val="clear" w:color="auto" w:fill="FFFFFF"/>
          <w:lang w:val="ka-GE"/>
        </w:rPr>
        <w:t>% გამოვლინდა ქალებში, ხოლო 43% – მამაკაცებში. ინციდენტობის მაჩვენებელმა 100 000 მამაკაცზე 212.5 შეადგინა, ხოლო 100 000 ქალზე - 254.4.</w:t>
      </w:r>
      <w:r>
        <w:rPr>
          <w:rFonts w:ascii="Sylfaen" w:hAnsi="Sylfaen" w:cs="Sylfaen"/>
          <w:shd w:val="clear" w:color="auto" w:fill="FFFFFF"/>
          <w:lang w:val="ka-GE"/>
        </w:rPr>
        <w:t xml:space="preserve">  </w:t>
      </w:r>
    </w:p>
    <w:p w:rsidR="00724379" w:rsidRDefault="00724379" w:rsidP="00724379">
      <w:pPr>
        <w:spacing w:before="240" w:line="276" w:lineRule="auto"/>
        <w:jc w:val="both"/>
        <w:rPr>
          <w:rFonts w:ascii="Sylfaen" w:hAnsi="Sylfaen"/>
          <w:lang w:val="ka-GE"/>
        </w:rPr>
      </w:pPr>
      <w:r w:rsidRPr="001E1211">
        <w:rPr>
          <w:rFonts w:ascii="Sylfaen" w:hAnsi="Sylfaen"/>
          <w:lang w:val="ka-GE"/>
        </w:rPr>
        <w:t>კიბოს რეგისტრის მონაცემების მიხედვით 2017 წელს ონკოლოგიური დაავადებების მხოლოდ 40.2% გამოვლინდა პირველ და მეორე სტადიაზე.</w:t>
      </w:r>
    </w:p>
    <w:p w:rsidR="00724379" w:rsidRPr="00992E1C" w:rsidRDefault="00724379" w:rsidP="00724379">
      <w:pPr>
        <w:autoSpaceDE w:val="0"/>
        <w:autoSpaceDN w:val="0"/>
        <w:adjustRightInd w:val="0"/>
        <w:spacing w:before="180" w:after="60" w:line="276" w:lineRule="auto"/>
        <w:jc w:val="both"/>
        <w:rPr>
          <w:rFonts w:ascii="Sylfaen" w:hAnsi="Sylfaen" w:cs="Kepler Std"/>
          <w:color w:val="000000"/>
          <w:lang w:val="ka-GE"/>
        </w:rPr>
      </w:pPr>
      <w:r w:rsidRPr="00FA1A8D">
        <w:rPr>
          <w:rFonts w:ascii="Sylfaen" w:hAnsi="Sylfaen" w:cs="Kepler Std"/>
          <w:color w:val="000000"/>
          <w:lang w:val="ka-GE"/>
        </w:rPr>
        <w:t xml:space="preserve">კიბოს განვითრების რისკი ასაკთან ერთად მატულობს. ეკონომიკურად განვითარებულ ქვეყნებში კიბოს ახალი შემთხვევების დაახლოებით 58%, ხოლო დაბალი შემოსავლების მქონე ქვეყნებში მხოლოდ 40% (საქართველოც ამ კატეგორიას მიეკუთვნება) 65 წლის ასაკში ან  უფრო გვიან  ვლინდება. ეს სხვაობა მეტწილად უკავშირდება ქვეყნებს შორის არსებულ განსხვავებებს მოსახლეობის შიდა ასაკობრივი სტრუქტურის თვალსაზრისით. </w:t>
      </w:r>
      <w:r>
        <w:rPr>
          <w:rFonts w:ascii="Sylfaen" w:hAnsi="Sylfaen" w:cs="Kepler Std"/>
          <w:color w:val="000000"/>
          <w:lang w:val="ka-GE"/>
        </w:rPr>
        <w:t>საქართველოში</w:t>
      </w:r>
      <w:r>
        <w:rPr>
          <w:rFonts w:ascii="Sylfaen" w:hAnsi="Sylfaen" w:cs="Kepler Std"/>
          <w:color w:val="000000"/>
        </w:rPr>
        <w:t xml:space="preserve"> </w:t>
      </w:r>
      <w:r>
        <w:rPr>
          <w:rFonts w:ascii="Sylfaen" w:hAnsi="Sylfaen" w:cs="Kepler Std"/>
          <w:color w:val="000000"/>
          <w:lang w:val="ka-GE"/>
        </w:rPr>
        <w:t xml:space="preserve">რეპროდუქციის ასაკში ქალთა შორის  კიბოთი ავადობა თითქმის ორჯერ მაღალია მამაკაცთა ავადობასთან შედარებით, ხოლო 65 წლიდან ავადობა სჭარბობს </w:t>
      </w:r>
      <w:r w:rsidRPr="00992E1C">
        <w:rPr>
          <w:rFonts w:ascii="Sylfaen" w:hAnsi="Sylfaen" w:cs="Kepler Std"/>
          <w:color w:val="000000"/>
          <w:lang w:val="ka-GE"/>
        </w:rPr>
        <w:t>კაცებში (სურათი 53).</w:t>
      </w:r>
    </w:p>
    <w:p w:rsidR="00724379" w:rsidRPr="00E75853" w:rsidRDefault="00724379" w:rsidP="00724379">
      <w:pPr>
        <w:spacing w:before="240" w:line="276" w:lineRule="auto"/>
        <w:jc w:val="both"/>
        <w:rPr>
          <w:rFonts w:ascii="Sylfaen" w:hAnsi="Sylfaen"/>
          <w:lang w:val="ka-GE"/>
        </w:rPr>
      </w:pPr>
      <w:r w:rsidRPr="00992E1C">
        <w:rPr>
          <w:rFonts w:ascii="Sylfaen" w:hAnsi="Sylfaen"/>
          <w:bCs/>
          <w:lang w:val="ka-GE"/>
        </w:rPr>
        <w:t>სურათი 53. ყველა ლოკალიზაციის კიბოს</w:t>
      </w:r>
      <w:r>
        <w:rPr>
          <w:rFonts w:ascii="Sylfaen" w:hAnsi="Sylfaen"/>
          <w:bCs/>
          <w:lang w:val="ka-GE"/>
        </w:rPr>
        <w:t xml:space="preserve"> ასაკ-სპეციფიკური მაჩვენებელი 100000 მოსახლეზე სქესის მიხედვით, 2017, საქართველო </w:t>
      </w:r>
    </w:p>
    <w:p w:rsidR="00724379" w:rsidRDefault="00724379" w:rsidP="00724379">
      <w:pPr>
        <w:spacing w:before="240" w:line="276" w:lineRule="auto"/>
        <w:jc w:val="center"/>
        <w:rPr>
          <w:rFonts w:ascii="Sylfaen" w:hAnsi="Sylfaen"/>
          <w:lang w:val="ka-GE"/>
        </w:rPr>
      </w:pPr>
      <w:r w:rsidRPr="00E75853">
        <w:rPr>
          <w:rFonts w:ascii="Sylfaen" w:hAnsi="Sylfaen"/>
          <w:noProof/>
        </w:rPr>
        <w:drawing>
          <wp:inline distT="0" distB="0" distL="0" distR="0" wp14:anchorId="21C4018C" wp14:editId="777C2089">
            <wp:extent cx="6115050" cy="2232025"/>
            <wp:effectExtent l="0" t="0" r="0" b="15875"/>
            <wp:docPr id="1053" name="Chart 10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24379" w:rsidRDefault="00724379" w:rsidP="00724379">
      <w:pPr>
        <w:spacing w:after="120" w:line="276" w:lineRule="auto"/>
        <w:jc w:val="both"/>
        <w:rPr>
          <w:rFonts w:ascii="Sylfaen" w:hAnsi="Sylfaen" w:cs="Sylfaen"/>
          <w:shd w:val="clear" w:color="auto" w:fill="FFFFFF"/>
        </w:rPr>
      </w:pPr>
    </w:p>
    <w:p w:rsidR="00724379" w:rsidRDefault="00724379" w:rsidP="00724379">
      <w:pPr>
        <w:spacing w:after="120" w:line="276" w:lineRule="auto"/>
        <w:jc w:val="both"/>
        <w:rPr>
          <w:rFonts w:ascii="Sylfaen" w:hAnsi="Sylfaen" w:cs="Sylfaen"/>
          <w:shd w:val="clear" w:color="auto" w:fill="FFFFFF"/>
          <w:lang w:val="ka-GE"/>
        </w:rPr>
      </w:pPr>
      <w:r>
        <w:rPr>
          <w:rFonts w:ascii="Sylfaen" w:hAnsi="Sylfaen" w:cs="Sylfaen"/>
          <w:shd w:val="clear" w:color="auto" w:fill="FFFFFF"/>
          <w:lang w:val="ka-GE"/>
        </w:rPr>
        <w:t>საქართველოს რეგიონებს შორის კიბოთი ავადობის მიხედვით მკვეთრი ვარიაცია არ ვლინდება, რაც რომელიმე რეგიონში ონკოლოგიურ დაავადებათა კლასტერის არსებობას გამორიცხავს (სურათი 54).</w:t>
      </w:r>
    </w:p>
    <w:p w:rsidR="00724379" w:rsidRPr="00FA1A8D" w:rsidRDefault="00724379" w:rsidP="00724379">
      <w:pPr>
        <w:spacing w:after="120" w:line="276" w:lineRule="auto"/>
        <w:jc w:val="both"/>
        <w:rPr>
          <w:rFonts w:ascii="Sylfaen" w:hAnsi="Sylfaen" w:cs="Sylfaen"/>
          <w:shd w:val="clear" w:color="auto" w:fill="FFFFFF"/>
          <w:lang w:val="ka-GE"/>
        </w:rPr>
      </w:pPr>
      <w:r w:rsidRPr="00FA1A8D">
        <w:rPr>
          <w:rFonts w:ascii="Sylfaen" w:hAnsi="Sylfaen" w:cs="Sylfaen"/>
          <w:shd w:val="clear" w:color="auto" w:fill="FFFFFF"/>
          <w:lang w:val="ka-GE"/>
        </w:rPr>
        <w:t>სურათი</w:t>
      </w:r>
      <w:r>
        <w:rPr>
          <w:rFonts w:ascii="Sylfaen" w:hAnsi="Sylfaen" w:cs="Sylfaen"/>
          <w:shd w:val="clear" w:color="auto" w:fill="FFFFFF"/>
          <w:lang w:val="ka-GE"/>
        </w:rPr>
        <w:t xml:space="preserve"> 54</w:t>
      </w:r>
      <w:r w:rsidRPr="00FA1A8D">
        <w:rPr>
          <w:rFonts w:ascii="Sylfaen" w:hAnsi="Sylfaen" w:cs="Sylfaen"/>
          <w:shd w:val="clear" w:color="auto" w:fill="FFFFFF"/>
          <w:lang w:val="ka-GE"/>
        </w:rPr>
        <w:t xml:space="preserve">. </w:t>
      </w:r>
      <w:r w:rsidRPr="00FA1A8D">
        <w:rPr>
          <w:rFonts w:ascii="Sylfaen" w:hAnsi="Sylfaen"/>
          <w:bCs/>
          <w:lang w:val="ka-GE"/>
        </w:rPr>
        <w:t xml:space="preserve">ყველა ლოკალიზაციის კიბოს </w:t>
      </w:r>
      <w:r w:rsidRPr="00FA1A8D">
        <w:rPr>
          <w:rFonts w:ascii="Sylfaen" w:hAnsi="Sylfaen" w:cs="Sylfaen"/>
          <w:bCs/>
          <w:shd w:val="clear" w:color="auto" w:fill="FFFFFF"/>
          <w:lang w:val="ka-GE"/>
        </w:rPr>
        <w:t>ინციდენტობა 100</w:t>
      </w:r>
      <w:r>
        <w:rPr>
          <w:rFonts w:ascii="Sylfaen" w:hAnsi="Sylfaen" w:cs="Sylfaen"/>
          <w:bCs/>
          <w:shd w:val="clear" w:color="auto" w:fill="FFFFFF"/>
          <w:lang w:val="ka-GE"/>
        </w:rPr>
        <w:t xml:space="preserve"> </w:t>
      </w:r>
      <w:r w:rsidRPr="00FA1A8D">
        <w:rPr>
          <w:rFonts w:ascii="Sylfaen" w:hAnsi="Sylfaen" w:cs="Sylfaen"/>
          <w:bCs/>
          <w:shd w:val="clear" w:color="auto" w:fill="FFFFFF"/>
          <w:lang w:val="ka-GE"/>
        </w:rPr>
        <w:t>000 მოსახლეზე რეგიონების მიხედვით, 2017</w:t>
      </w:r>
    </w:p>
    <w:p w:rsidR="00724379" w:rsidRPr="00C2745F" w:rsidRDefault="00724379" w:rsidP="00724379">
      <w:pPr>
        <w:spacing w:before="240" w:line="276" w:lineRule="auto"/>
        <w:jc w:val="center"/>
        <w:rPr>
          <w:rFonts w:ascii="Sylfaen" w:hAnsi="Sylfaen"/>
          <w:lang w:val="ka-GE"/>
        </w:rPr>
      </w:pPr>
      <w:r w:rsidRPr="002B6CED">
        <w:rPr>
          <w:rFonts w:ascii="Sylfaen" w:hAnsi="Sylfaen"/>
          <w:noProof/>
        </w:rPr>
        <w:lastRenderedPageBreak/>
        <w:drawing>
          <wp:inline distT="0" distB="0" distL="0" distR="0" wp14:anchorId="6FF92F50" wp14:editId="45990088">
            <wp:extent cx="5876925" cy="2657475"/>
            <wp:effectExtent l="0" t="0" r="9525" b="9525"/>
            <wp:docPr id="1054" name="Chart 10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24379" w:rsidRDefault="00724379" w:rsidP="00724379">
      <w:pPr>
        <w:spacing w:after="120" w:line="276" w:lineRule="auto"/>
        <w:jc w:val="both"/>
        <w:rPr>
          <w:rFonts w:ascii="Sylfaen" w:hAnsi="Sylfaen" w:cs="Sylfaen"/>
          <w:shd w:val="clear" w:color="auto" w:fill="FFFFFF"/>
          <w:lang w:val="ka-GE"/>
        </w:rPr>
      </w:pPr>
      <w:r>
        <w:rPr>
          <w:rFonts w:ascii="Sylfaen" w:hAnsi="Sylfaen" w:cs="Sylfaen"/>
          <w:shd w:val="clear" w:color="auto" w:fill="FFFFFF"/>
          <w:lang w:val="ka-GE"/>
        </w:rPr>
        <w:t xml:space="preserve">2017 წელს </w:t>
      </w:r>
      <w:r w:rsidRPr="006A771D">
        <w:rPr>
          <w:rFonts w:ascii="Sylfaen" w:hAnsi="Sylfaen" w:cs="Sylfaen"/>
          <w:shd w:val="clear" w:color="auto" w:fill="FFFFFF"/>
          <w:lang w:val="ka-GE"/>
        </w:rPr>
        <w:t>ქალთა შორის ყველაზე გავრცელებული ხუთი ლოკალიზაციის ონკოლოგიური დაავადება იყო: ძუძუს, ფარისებრი ჯირკვლის, საშვილოსნოს ტანის</w:t>
      </w:r>
      <w:r>
        <w:rPr>
          <w:rFonts w:ascii="Sylfaen" w:hAnsi="Sylfaen" w:cs="Sylfaen"/>
          <w:shd w:val="clear" w:color="auto" w:fill="FFFFFF"/>
          <w:lang w:val="ka-GE"/>
        </w:rPr>
        <w:t>,</w:t>
      </w:r>
      <w:r w:rsidRPr="006A771D">
        <w:rPr>
          <w:rFonts w:ascii="Sylfaen" w:hAnsi="Sylfaen" w:cs="Sylfaen"/>
          <w:shd w:val="clear" w:color="auto" w:fill="FFFFFF"/>
          <w:lang w:val="ka-GE"/>
        </w:rPr>
        <w:t xml:space="preserve"> კოლორექტუმის</w:t>
      </w:r>
      <w:r>
        <w:rPr>
          <w:rFonts w:ascii="Sylfaen" w:hAnsi="Sylfaen" w:cs="Sylfaen"/>
          <w:shd w:val="clear" w:color="auto" w:fill="FFFFFF"/>
          <w:lang w:val="ka-GE"/>
        </w:rPr>
        <w:t xml:space="preserve">, </w:t>
      </w:r>
      <w:r w:rsidRPr="006A771D">
        <w:rPr>
          <w:rFonts w:ascii="Sylfaen" w:hAnsi="Sylfaen" w:cs="Sylfaen"/>
          <w:shd w:val="clear" w:color="auto" w:fill="FFFFFF"/>
          <w:lang w:val="ka-GE"/>
        </w:rPr>
        <w:t xml:space="preserve">საშვილოსნოს ყელის კიბო. </w:t>
      </w:r>
    </w:p>
    <w:tbl>
      <w:tblPr>
        <w:tblStyle w:val="TableGrid"/>
        <w:tblW w:w="0" w:type="auto"/>
        <w:jc w:val="center"/>
        <w:tblLook w:val="04A0" w:firstRow="1" w:lastRow="0" w:firstColumn="1" w:lastColumn="0" w:noHBand="0" w:noVBand="1"/>
      </w:tblPr>
      <w:tblGrid>
        <w:gridCol w:w="3206"/>
        <w:gridCol w:w="2279"/>
        <w:gridCol w:w="2700"/>
      </w:tblGrid>
      <w:tr w:rsidR="00724379" w:rsidTr="00464A95">
        <w:trPr>
          <w:jc w:val="center"/>
        </w:trPr>
        <w:tc>
          <w:tcPr>
            <w:tcW w:w="3206" w:type="dxa"/>
          </w:tcPr>
          <w:p w:rsidR="00724379" w:rsidRPr="00DA3479" w:rsidRDefault="00724379" w:rsidP="00464A95">
            <w:pPr>
              <w:jc w:val="both"/>
              <w:rPr>
                <w:rFonts w:ascii="Sylfaen" w:hAnsi="Sylfaen" w:cs="Sylfaen"/>
                <w:b/>
                <w:shd w:val="clear" w:color="auto" w:fill="FFFFFF"/>
              </w:rPr>
            </w:pPr>
            <w:r w:rsidRPr="00DA3479">
              <w:rPr>
                <w:rFonts w:ascii="Sylfaen" w:hAnsi="Sylfaen" w:cs="Sylfaen"/>
                <w:b/>
                <w:shd w:val="clear" w:color="auto" w:fill="FFFFFF"/>
              </w:rPr>
              <w:t>ონკოლოგიური დაავადება</w:t>
            </w:r>
          </w:p>
        </w:tc>
        <w:tc>
          <w:tcPr>
            <w:tcW w:w="2279" w:type="dxa"/>
          </w:tcPr>
          <w:p w:rsidR="00724379" w:rsidRPr="00DA3479" w:rsidRDefault="00724379" w:rsidP="00464A95">
            <w:pPr>
              <w:jc w:val="center"/>
              <w:rPr>
                <w:rFonts w:ascii="Sylfaen" w:hAnsi="Sylfaen" w:cs="Sylfaen"/>
                <w:b/>
                <w:shd w:val="clear" w:color="auto" w:fill="FFFFFF"/>
              </w:rPr>
            </w:pPr>
            <w:r>
              <w:rPr>
                <w:rFonts w:ascii="Sylfaen" w:hAnsi="Sylfaen" w:cs="Sylfaen"/>
                <w:b/>
                <w:shd w:val="clear" w:color="auto" w:fill="FFFFFF"/>
              </w:rPr>
              <w:t>შემთხვევების   რ-ბა</w:t>
            </w:r>
          </w:p>
        </w:tc>
        <w:tc>
          <w:tcPr>
            <w:tcW w:w="2700" w:type="dxa"/>
          </w:tcPr>
          <w:p w:rsidR="00724379" w:rsidRPr="00DA3479" w:rsidRDefault="00724379" w:rsidP="00464A95">
            <w:pPr>
              <w:jc w:val="center"/>
              <w:rPr>
                <w:rFonts w:ascii="Sylfaen" w:hAnsi="Sylfaen" w:cs="Sylfaen"/>
                <w:b/>
                <w:shd w:val="clear" w:color="auto" w:fill="FFFFFF"/>
              </w:rPr>
            </w:pPr>
            <w:r>
              <w:rPr>
                <w:rFonts w:ascii="Sylfaen" w:hAnsi="Sylfaen" w:cs="Sylfaen"/>
                <w:b/>
                <w:shd w:val="clear" w:color="auto" w:fill="FFFFFF"/>
              </w:rPr>
              <w:t>ავადობა 100 000 ქალზე</w:t>
            </w:r>
          </w:p>
        </w:tc>
      </w:tr>
      <w:tr w:rsidR="00724379" w:rsidTr="00464A95">
        <w:trPr>
          <w:jc w:val="center"/>
        </w:trPr>
        <w:tc>
          <w:tcPr>
            <w:tcW w:w="3206" w:type="dxa"/>
          </w:tcPr>
          <w:p w:rsidR="00724379" w:rsidRDefault="00724379" w:rsidP="00464A95">
            <w:pPr>
              <w:spacing w:after="120"/>
              <w:jc w:val="both"/>
              <w:rPr>
                <w:rFonts w:ascii="Sylfaen" w:hAnsi="Sylfaen" w:cs="Sylfaen"/>
                <w:shd w:val="clear" w:color="auto" w:fill="FFFFFF"/>
              </w:rPr>
            </w:pPr>
            <w:r>
              <w:rPr>
                <w:rFonts w:ascii="Sylfaen" w:hAnsi="Sylfaen" w:cs="Sylfaen"/>
                <w:shd w:val="clear" w:color="auto" w:fill="FFFFFF"/>
              </w:rPr>
              <w:t>სარძევე ჯირკვალი</w:t>
            </w:r>
          </w:p>
        </w:tc>
        <w:tc>
          <w:tcPr>
            <w:tcW w:w="2279" w:type="dxa"/>
          </w:tcPr>
          <w:p w:rsidR="00724379" w:rsidRDefault="00724379" w:rsidP="00464A95">
            <w:pPr>
              <w:spacing w:after="120"/>
              <w:jc w:val="center"/>
              <w:rPr>
                <w:rFonts w:ascii="Sylfaen" w:hAnsi="Sylfaen" w:cs="Sylfaen"/>
                <w:shd w:val="clear" w:color="auto" w:fill="FFFFFF"/>
              </w:rPr>
            </w:pPr>
            <w:r>
              <w:rPr>
                <w:rFonts w:ascii="Sylfaen" w:hAnsi="Sylfaen" w:cs="Sylfaen"/>
                <w:shd w:val="clear" w:color="auto" w:fill="FFFFFF"/>
              </w:rPr>
              <w:t>1 541</w:t>
            </w:r>
          </w:p>
        </w:tc>
        <w:tc>
          <w:tcPr>
            <w:tcW w:w="2700" w:type="dxa"/>
          </w:tcPr>
          <w:p w:rsidR="00724379" w:rsidRDefault="00724379" w:rsidP="00464A95">
            <w:pPr>
              <w:spacing w:after="120"/>
              <w:jc w:val="center"/>
              <w:rPr>
                <w:rFonts w:ascii="Sylfaen" w:hAnsi="Sylfaen" w:cs="Sylfaen"/>
                <w:shd w:val="clear" w:color="auto" w:fill="FFFFFF"/>
              </w:rPr>
            </w:pPr>
            <w:r>
              <w:rPr>
                <w:rFonts w:ascii="Sylfaen" w:hAnsi="Sylfaen" w:cs="Sylfaen"/>
                <w:shd w:val="clear" w:color="auto" w:fill="FFFFFF"/>
              </w:rPr>
              <w:t>79.6</w:t>
            </w:r>
          </w:p>
        </w:tc>
      </w:tr>
      <w:tr w:rsidR="00724379" w:rsidTr="00464A95">
        <w:trPr>
          <w:jc w:val="center"/>
        </w:trPr>
        <w:tc>
          <w:tcPr>
            <w:tcW w:w="3206" w:type="dxa"/>
          </w:tcPr>
          <w:p w:rsidR="00724379" w:rsidRDefault="00724379" w:rsidP="00464A95">
            <w:pPr>
              <w:spacing w:after="120"/>
              <w:jc w:val="both"/>
              <w:rPr>
                <w:rFonts w:ascii="Sylfaen" w:hAnsi="Sylfaen" w:cs="Sylfaen"/>
                <w:shd w:val="clear" w:color="auto" w:fill="FFFFFF"/>
              </w:rPr>
            </w:pPr>
            <w:r>
              <w:rPr>
                <w:rFonts w:ascii="Sylfaen" w:hAnsi="Sylfaen" w:cs="Sylfaen"/>
                <w:shd w:val="clear" w:color="auto" w:fill="FFFFFF"/>
              </w:rPr>
              <w:t>ფარისებრი ჯირკვალი</w:t>
            </w:r>
          </w:p>
        </w:tc>
        <w:tc>
          <w:tcPr>
            <w:tcW w:w="2279" w:type="dxa"/>
          </w:tcPr>
          <w:p w:rsidR="00724379" w:rsidRDefault="00724379" w:rsidP="00464A95">
            <w:pPr>
              <w:spacing w:after="120"/>
              <w:jc w:val="center"/>
              <w:rPr>
                <w:rFonts w:ascii="Sylfaen" w:hAnsi="Sylfaen" w:cs="Sylfaen"/>
                <w:shd w:val="clear" w:color="auto" w:fill="FFFFFF"/>
              </w:rPr>
            </w:pPr>
            <w:r>
              <w:rPr>
                <w:rFonts w:ascii="Sylfaen" w:hAnsi="Sylfaen" w:cs="Sylfaen"/>
                <w:shd w:val="clear" w:color="auto" w:fill="FFFFFF"/>
              </w:rPr>
              <w:t>721</w:t>
            </w:r>
          </w:p>
        </w:tc>
        <w:tc>
          <w:tcPr>
            <w:tcW w:w="2700" w:type="dxa"/>
          </w:tcPr>
          <w:p w:rsidR="00724379" w:rsidRDefault="00724379" w:rsidP="00464A95">
            <w:pPr>
              <w:spacing w:after="120"/>
              <w:jc w:val="center"/>
              <w:rPr>
                <w:rFonts w:ascii="Sylfaen" w:hAnsi="Sylfaen" w:cs="Sylfaen"/>
                <w:shd w:val="clear" w:color="auto" w:fill="FFFFFF"/>
              </w:rPr>
            </w:pPr>
            <w:r>
              <w:rPr>
                <w:rFonts w:ascii="Sylfaen" w:hAnsi="Sylfaen" w:cs="Sylfaen"/>
                <w:shd w:val="clear" w:color="auto" w:fill="FFFFFF"/>
              </w:rPr>
              <w:t>40.8</w:t>
            </w:r>
          </w:p>
        </w:tc>
      </w:tr>
      <w:tr w:rsidR="00724379" w:rsidTr="00464A95">
        <w:trPr>
          <w:jc w:val="center"/>
        </w:trPr>
        <w:tc>
          <w:tcPr>
            <w:tcW w:w="3206" w:type="dxa"/>
          </w:tcPr>
          <w:p w:rsidR="00724379" w:rsidRDefault="00724379" w:rsidP="00464A95">
            <w:pPr>
              <w:spacing w:after="120"/>
              <w:jc w:val="both"/>
              <w:rPr>
                <w:rFonts w:ascii="Sylfaen" w:hAnsi="Sylfaen" w:cs="Sylfaen"/>
                <w:shd w:val="clear" w:color="auto" w:fill="FFFFFF"/>
              </w:rPr>
            </w:pPr>
            <w:r>
              <w:rPr>
                <w:rFonts w:ascii="Sylfaen" w:hAnsi="Sylfaen" w:cs="Sylfaen"/>
                <w:shd w:val="clear" w:color="auto" w:fill="FFFFFF"/>
              </w:rPr>
              <w:t>კოლორექტუმი</w:t>
            </w:r>
          </w:p>
        </w:tc>
        <w:tc>
          <w:tcPr>
            <w:tcW w:w="2279" w:type="dxa"/>
          </w:tcPr>
          <w:p w:rsidR="00724379" w:rsidRDefault="00724379" w:rsidP="00464A95">
            <w:pPr>
              <w:spacing w:after="120"/>
              <w:jc w:val="center"/>
              <w:rPr>
                <w:rFonts w:ascii="Sylfaen" w:hAnsi="Sylfaen" w:cs="Sylfaen"/>
                <w:shd w:val="clear" w:color="auto" w:fill="FFFFFF"/>
              </w:rPr>
            </w:pPr>
            <w:r>
              <w:rPr>
                <w:rFonts w:ascii="Sylfaen" w:hAnsi="Sylfaen" w:cs="Sylfaen"/>
                <w:shd w:val="clear" w:color="auto" w:fill="FFFFFF"/>
              </w:rPr>
              <w:t>306</w:t>
            </w:r>
          </w:p>
        </w:tc>
        <w:tc>
          <w:tcPr>
            <w:tcW w:w="2700" w:type="dxa"/>
          </w:tcPr>
          <w:p w:rsidR="00724379" w:rsidRDefault="00724379" w:rsidP="00464A95">
            <w:pPr>
              <w:spacing w:after="120"/>
              <w:jc w:val="center"/>
              <w:rPr>
                <w:rFonts w:ascii="Sylfaen" w:hAnsi="Sylfaen" w:cs="Sylfaen"/>
                <w:shd w:val="clear" w:color="auto" w:fill="FFFFFF"/>
              </w:rPr>
            </w:pPr>
            <w:r>
              <w:rPr>
                <w:rFonts w:ascii="Sylfaen" w:hAnsi="Sylfaen" w:cs="Sylfaen"/>
                <w:shd w:val="clear" w:color="auto" w:fill="FFFFFF"/>
              </w:rPr>
              <w:t>16.1</w:t>
            </w:r>
          </w:p>
        </w:tc>
      </w:tr>
      <w:tr w:rsidR="00724379" w:rsidTr="00464A95">
        <w:trPr>
          <w:jc w:val="center"/>
        </w:trPr>
        <w:tc>
          <w:tcPr>
            <w:tcW w:w="3206" w:type="dxa"/>
          </w:tcPr>
          <w:p w:rsidR="00724379" w:rsidRDefault="00724379" w:rsidP="00464A95">
            <w:pPr>
              <w:spacing w:after="120"/>
              <w:jc w:val="both"/>
              <w:rPr>
                <w:rFonts w:ascii="Sylfaen" w:hAnsi="Sylfaen" w:cs="Sylfaen"/>
                <w:shd w:val="clear" w:color="auto" w:fill="FFFFFF"/>
              </w:rPr>
            </w:pPr>
            <w:r>
              <w:rPr>
                <w:rFonts w:ascii="Sylfaen" w:hAnsi="Sylfaen" w:cs="Sylfaen"/>
                <w:shd w:val="clear" w:color="auto" w:fill="FFFFFF"/>
              </w:rPr>
              <w:t>საშვილოსნოს ტანი</w:t>
            </w:r>
          </w:p>
        </w:tc>
        <w:tc>
          <w:tcPr>
            <w:tcW w:w="2279" w:type="dxa"/>
          </w:tcPr>
          <w:p w:rsidR="00724379" w:rsidRDefault="00724379" w:rsidP="00464A95">
            <w:pPr>
              <w:spacing w:after="120"/>
              <w:jc w:val="center"/>
              <w:rPr>
                <w:rFonts w:ascii="Sylfaen" w:hAnsi="Sylfaen" w:cs="Sylfaen"/>
                <w:shd w:val="clear" w:color="auto" w:fill="FFFFFF"/>
              </w:rPr>
            </w:pPr>
            <w:r>
              <w:rPr>
                <w:rFonts w:ascii="Sylfaen" w:hAnsi="Sylfaen" w:cs="Sylfaen"/>
                <w:shd w:val="clear" w:color="auto" w:fill="FFFFFF"/>
              </w:rPr>
              <w:t>286</w:t>
            </w:r>
          </w:p>
        </w:tc>
        <w:tc>
          <w:tcPr>
            <w:tcW w:w="2700" w:type="dxa"/>
          </w:tcPr>
          <w:p w:rsidR="00724379" w:rsidRDefault="00724379" w:rsidP="00464A95">
            <w:pPr>
              <w:spacing w:after="120"/>
              <w:jc w:val="center"/>
              <w:rPr>
                <w:rFonts w:ascii="Sylfaen" w:hAnsi="Sylfaen" w:cs="Sylfaen"/>
                <w:shd w:val="clear" w:color="auto" w:fill="FFFFFF"/>
              </w:rPr>
            </w:pPr>
            <w:r>
              <w:rPr>
                <w:rFonts w:ascii="Sylfaen" w:hAnsi="Sylfaen" w:cs="Sylfaen"/>
                <w:shd w:val="clear" w:color="auto" w:fill="FFFFFF"/>
              </w:rPr>
              <w:t>17.2</w:t>
            </w:r>
          </w:p>
        </w:tc>
      </w:tr>
      <w:tr w:rsidR="00724379" w:rsidTr="00464A95">
        <w:trPr>
          <w:jc w:val="center"/>
        </w:trPr>
        <w:tc>
          <w:tcPr>
            <w:tcW w:w="3206" w:type="dxa"/>
          </w:tcPr>
          <w:p w:rsidR="00724379" w:rsidRDefault="00724379" w:rsidP="00464A95">
            <w:pPr>
              <w:spacing w:after="120"/>
              <w:jc w:val="both"/>
              <w:rPr>
                <w:rFonts w:ascii="Sylfaen" w:hAnsi="Sylfaen" w:cs="Sylfaen"/>
                <w:shd w:val="clear" w:color="auto" w:fill="FFFFFF"/>
              </w:rPr>
            </w:pPr>
            <w:r>
              <w:rPr>
                <w:rFonts w:ascii="Sylfaen" w:hAnsi="Sylfaen" w:cs="Sylfaen"/>
                <w:shd w:val="clear" w:color="auto" w:fill="FFFFFF"/>
              </w:rPr>
              <w:t>საშვილოსნოს ყელი</w:t>
            </w:r>
          </w:p>
        </w:tc>
        <w:tc>
          <w:tcPr>
            <w:tcW w:w="2279" w:type="dxa"/>
          </w:tcPr>
          <w:p w:rsidR="00724379" w:rsidRDefault="00724379" w:rsidP="00464A95">
            <w:pPr>
              <w:spacing w:after="120"/>
              <w:jc w:val="center"/>
              <w:rPr>
                <w:rFonts w:ascii="Sylfaen" w:hAnsi="Sylfaen" w:cs="Sylfaen"/>
                <w:shd w:val="clear" w:color="auto" w:fill="FFFFFF"/>
              </w:rPr>
            </w:pPr>
            <w:r>
              <w:rPr>
                <w:rFonts w:ascii="Sylfaen" w:hAnsi="Sylfaen" w:cs="Sylfaen"/>
                <w:shd w:val="clear" w:color="auto" w:fill="FFFFFF"/>
              </w:rPr>
              <w:t>254</w:t>
            </w:r>
          </w:p>
        </w:tc>
        <w:tc>
          <w:tcPr>
            <w:tcW w:w="2700" w:type="dxa"/>
          </w:tcPr>
          <w:p w:rsidR="00724379" w:rsidRDefault="00724379" w:rsidP="00464A95">
            <w:pPr>
              <w:spacing w:after="120"/>
              <w:jc w:val="center"/>
              <w:rPr>
                <w:rFonts w:ascii="Sylfaen" w:hAnsi="Sylfaen" w:cs="Sylfaen"/>
                <w:shd w:val="clear" w:color="auto" w:fill="FFFFFF"/>
              </w:rPr>
            </w:pPr>
            <w:r>
              <w:rPr>
                <w:rFonts w:ascii="Sylfaen" w:hAnsi="Sylfaen" w:cs="Sylfaen"/>
                <w:shd w:val="clear" w:color="auto" w:fill="FFFFFF"/>
              </w:rPr>
              <w:t>14.3</w:t>
            </w:r>
          </w:p>
        </w:tc>
      </w:tr>
    </w:tbl>
    <w:p w:rsidR="00724379" w:rsidRDefault="00724379" w:rsidP="00724379">
      <w:pPr>
        <w:spacing w:after="0"/>
        <w:jc w:val="both"/>
        <w:rPr>
          <w:rFonts w:ascii="Sylfaen" w:hAnsi="Sylfaen"/>
          <w:highlight w:val="yellow"/>
          <w:lang w:val="ka-GE"/>
        </w:rPr>
      </w:pPr>
    </w:p>
    <w:p w:rsidR="00724379" w:rsidRPr="00E967D2" w:rsidRDefault="00724379" w:rsidP="00724379">
      <w:pPr>
        <w:spacing w:after="0"/>
        <w:jc w:val="both"/>
        <w:rPr>
          <w:rFonts w:ascii="Sylfaen" w:hAnsi="Sylfaen"/>
          <w:b/>
          <w:lang w:val="ka-GE"/>
        </w:rPr>
      </w:pPr>
      <w:r w:rsidRPr="00992E1C">
        <w:rPr>
          <w:rFonts w:ascii="Sylfaen" w:hAnsi="Sylfaen"/>
          <w:lang w:val="ka-GE"/>
        </w:rPr>
        <w:t>სურათი 55. ქალთა</w:t>
      </w:r>
      <w:r>
        <w:rPr>
          <w:rFonts w:ascii="Sylfaen" w:hAnsi="Sylfaen"/>
          <w:lang w:val="ka-GE"/>
        </w:rPr>
        <w:t xml:space="preserve"> შორის ხუთი ყველაზე მაღალი ავადობის მქონე კიბოს სტადიები გამოვლენისას</w:t>
      </w:r>
    </w:p>
    <w:p w:rsidR="00724379" w:rsidRPr="00273EBA" w:rsidRDefault="00724379" w:rsidP="00724379">
      <w:pPr>
        <w:jc w:val="both"/>
        <w:rPr>
          <w:lang w:val="ka-GE"/>
        </w:rPr>
      </w:pPr>
      <w:r w:rsidRPr="001459D4">
        <w:rPr>
          <w:rFonts w:ascii="Sylfaen" w:hAnsi="Sylfaen"/>
          <w:noProof/>
          <w:sz w:val="24"/>
          <w:szCs w:val="24"/>
        </w:rPr>
        <w:drawing>
          <wp:inline distT="0" distB="0" distL="0" distR="0" wp14:anchorId="19B62D9C" wp14:editId="7D008918">
            <wp:extent cx="5876925" cy="1924050"/>
            <wp:effectExtent l="57150" t="57150" r="47625" b="38100"/>
            <wp:docPr id="1055" name="Chart 10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24379" w:rsidRPr="00992E1C" w:rsidRDefault="00724379" w:rsidP="00724379">
      <w:pPr>
        <w:jc w:val="both"/>
        <w:rPr>
          <w:rFonts w:ascii="Sylfaen" w:hAnsi="Sylfaen"/>
          <w:lang w:val="ka-GE"/>
        </w:rPr>
      </w:pPr>
      <w:r>
        <w:rPr>
          <w:rFonts w:ascii="Sylfaen" w:hAnsi="Sylfaen"/>
          <w:lang w:val="ka-GE"/>
        </w:rPr>
        <w:t>რაც შეეხება ქალთა შორის ყველაზე ფართოდ გავრცელებული ონკოლოგიური დაავადებების ასაკობრივ თავისებურებებს, ძუძუს, საშვილოსნოს ყელის, საშვილოსნოს ტანის და კოლორექტალური კიბოს შემთხვევაში ის შესაბამისობაშია სხვა ქვეყნებში არსებულ ტენდენციებთან, თუმცა ფარისებრი ჯირკვლის კიბო გამონაკლისს წარმოადგენს, მისი საკამოდ ფართო გავრცელებით 20–35 ასაკობრივ ჯგ</w:t>
      </w:r>
      <w:r w:rsidRPr="00992E1C">
        <w:rPr>
          <w:rFonts w:ascii="Sylfaen" w:hAnsi="Sylfaen"/>
          <w:lang w:val="ka-GE"/>
        </w:rPr>
        <w:t xml:space="preserve">უფში (სურათი 56). </w:t>
      </w:r>
    </w:p>
    <w:p w:rsidR="00724379" w:rsidRPr="00320A50" w:rsidRDefault="00724379" w:rsidP="00724379">
      <w:pPr>
        <w:jc w:val="both"/>
        <w:rPr>
          <w:rFonts w:ascii="Sylfaen" w:hAnsi="Sylfaen"/>
          <w:lang w:val="ka-GE"/>
        </w:rPr>
      </w:pPr>
      <w:r w:rsidRPr="00992E1C">
        <w:rPr>
          <w:rFonts w:ascii="Sylfaen" w:hAnsi="Sylfaen"/>
          <w:lang w:val="ka-GE"/>
        </w:rPr>
        <w:lastRenderedPageBreak/>
        <w:t>სურათი 56. ქალთა შორის ხუთი ყველაზე</w:t>
      </w:r>
      <w:r>
        <w:rPr>
          <w:rFonts w:ascii="Sylfaen" w:hAnsi="Sylfaen"/>
          <w:lang w:val="ka-GE"/>
        </w:rPr>
        <w:t xml:space="preserve"> მაღალი ინციდენტობის მქონე კიბოს ასაკ-სპეციფიკური ავადობის მაჩვენებელი 100000 ქალზე, </w:t>
      </w:r>
      <w:r w:rsidRPr="00320A50">
        <w:rPr>
          <w:rFonts w:ascii="Sylfaen" w:hAnsi="Sylfaen"/>
          <w:lang w:val="ka-GE"/>
        </w:rPr>
        <w:t>საქართველო, 2017</w:t>
      </w:r>
    </w:p>
    <w:p w:rsidR="00724379" w:rsidRDefault="00724379" w:rsidP="00724379">
      <w:pPr>
        <w:jc w:val="center"/>
        <w:rPr>
          <w:rFonts w:ascii="Sylfaen" w:hAnsi="Sylfaen"/>
          <w:lang w:val="ka-GE"/>
        </w:rPr>
      </w:pPr>
      <w:bookmarkStart w:id="0" w:name="_GoBack"/>
      <w:r w:rsidRPr="00AC72CF">
        <w:rPr>
          <w:rFonts w:ascii="Sylfaen" w:hAnsi="Sylfaen"/>
          <w:noProof/>
          <w:sz w:val="24"/>
          <w:szCs w:val="24"/>
        </w:rPr>
        <w:drawing>
          <wp:inline distT="0" distB="0" distL="0" distR="0" wp14:anchorId="18984C3E" wp14:editId="25B19701">
            <wp:extent cx="6115050" cy="2333625"/>
            <wp:effectExtent l="0" t="0" r="0" b="9525"/>
            <wp:docPr id="1056" name="Chart 10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bookmarkEnd w:id="0"/>
    </w:p>
    <w:p w:rsidR="00724379" w:rsidRDefault="00724379" w:rsidP="00724379">
      <w:pPr>
        <w:spacing w:after="120" w:line="276" w:lineRule="auto"/>
        <w:jc w:val="both"/>
        <w:rPr>
          <w:rFonts w:ascii="Sylfaen" w:hAnsi="Sylfaen" w:cs="Sylfaen"/>
          <w:shd w:val="clear" w:color="auto" w:fill="FFFFFF"/>
        </w:rPr>
      </w:pPr>
      <w:r>
        <w:rPr>
          <w:rFonts w:ascii="Sylfaen" w:hAnsi="Sylfaen" w:cs="Sylfaen"/>
          <w:shd w:val="clear" w:color="auto" w:fill="FFFFFF"/>
          <w:lang w:val="ka-GE"/>
        </w:rPr>
        <w:t xml:space="preserve">2017 წელს </w:t>
      </w:r>
      <w:r w:rsidRPr="006A771D">
        <w:rPr>
          <w:rFonts w:ascii="Sylfaen" w:hAnsi="Sylfaen" w:cs="Sylfaen"/>
          <w:shd w:val="clear" w:color="auto" w:fill="FFFFFF"/>
          <w:lang w:val="ka-GE"/>
        </w:rPr>
        <w:t xml:space="preserve">მამაკაცთა შორის ყველაზე </w:t>
      </w:r>
      <w:r>
        <w:rPr>
          <w:rFonts w:ascii="Sylfaen" w:hAnsi="Sylfaen" w:cs="Sylfaen"/>
          <w:shd w:val="clear" w:color="auto" w:fill="FFFFFF"/>
          <w:lang w:val="ka-GE"/>
        </w:rPr>
        <w:t>მაღალი ავადობის მქონე</w:t>
      </w:r>
      <w:r w:rsidRPr="006A771D">
        <w:rPr>
          <w:rFonts w:ascii="Sylfaen" w:hAnsi="Sylfaen" w:cs="Sylfaen"/>
          <w:shd w:val="clear" w:color="auto" w:fill="FFFFFF"/>
          <w:lang w:val="ka-GE"/>
        </w:rPr>
        <w:t xml:space="preserve"> ხუთი ლოკალიზაციის ონკოლოგიური  დაავადებ</w:t>
      </w:r>
      <w:r>
        <w:rPr>
          <w:rFonts w:ascii="Sylfaen" w:hAnsi="Sylfaen" w:cs="Sylfaen"/>
          <w:shd w:val="clear" w:color="auto" w:fill="FFFFFF"/>
        </w:rPr>
        <w:t xml:space="preserve">ა </w:t>
      </w:r>
      <w:proofErr w:type="spellStart"/>
      <w:r>
        <w:rPr>
          <w:rFonts w:ascii="Sylfaen" w:hAnsi="Sylfaen" w:cs="Sylfaen"/>
          <w:shd w:val="clear" w:color="auto" w:fill="FFFFFF"/>
        </w:rPr>
        <w:t>იყო</w:t>
      </w:r>
      <w:proofErr w:type="spellEnd"/>
      <w:r w:rsidRPr="00DD189E">
        <w:rPr>
          <w:rFonts w:ascii="Sylfaen" w:hAnsi="Sylfaen" w:cs="Sylfaen"/>
          <w:shd w:val="clear" w:color="auto" w:fill="FFFFFF"/>
        </w:rPr>
        <w:t>:</w:t>
      </w:r>
      <w:r>
        <w:rPr>
          <w:rFonts w:ascii="Sylfaen" w:hAnsi="Sylfaen" w:cs="Sylfaen"/>
          <w:shd w:val="clear" w:color="auto" w:fill="FFFFFF"/>
        </w:rPr>
        <w:t xml:space="preserve"> </w:t>
      </w:r>
      <w:proofErr w:type="spellStart"/>
      <w:r w:rsidRPr="00DD189E">
        <w:rPr>
          <w:rFonts w:ascii="Sylfaen" w:hAnsi="Sylfaen" w:cs="Sylfaen"/>
          <w:shd w:val="clear" w:color="auto" w:fill="FFFFFF"/>
        </w:rPr>
        <w:t>ტრაქეა</w:t>
      </w:r>
      <w:proofErr w:type="spellEnd"/>
      <w:r>
        <w:rPr>
          <w:rFonts w:ascii="Sylfaen" w:hAnsi="Sylfaen" w:cs="Sylfaen"/>
          <w:shd w:val="clear" w:color="auto" w:fill="FFFFFF"/>
        </w:rPr>
        <w:t>/</w:t>
      </w:r>
      <w:proofErr w:type="spellStart"/>
      <w:r>
        <w:rPr>
          <w:rFonts w:ascii="Sylfaen" w:hAnsi="Sylfaen" w:cs="Sylfaen"/>
          <w:shd w:val="clear" w:color="auto" w:fill="FFFFFF"/>
        </w:rPr>
        <w:t>ბრონქები</w:t>
      </w:r>
      <w:proofErr w:type="spellEnd"/>
      <w:r>
        <w:rPr>
          <w:rFonts w:ascii="Sylfaen" w:hAnsi="Sylfaen" w:cs="Sylfaen"/>
          <w:shd w:val="clear" w:color="auto" w:fill="FFFFFF"/>
        </w:rPr>
        <w:t>/</w:t>
      </w:r>
      <w:proofErr w:type="spellStart"/>
      <w:r w:rsidRPr="00DD189E">
        <w:rPr>
          <w:rFonts w:ascii="Sylfaen" w:hAnsi="Sylfaen" w:cs="Sylfaen"/>
          <w:shd w:val="clear" w:color="auto" w:fill="FFFFFF"/>
        </w:rPr>
        <w:t>ფილტვის</w:t>
      </w:r>
      <w:proofErr w:type="spellEnd"/>
      <w:r w:rsidRPr="00DD189E">
        <w:rPr>
          <w:rFonts w:ascii="Sylfaen" w:hAnsi="Sylfaen" w:cs="Sylfaen"/>
          <w:shd w:val="clear" w:color="auto" w:fill="FFFFFF"/>
        </w:rPr>
        <w:t xml:space="preserve">, </w:t>
      </w:r>
      <w:proofErr w:type="spellStart"/>
      <w:r w:rsidRPr="00DD189E">
        <w:rPr>
          <w:rFonts w:ascii="Sylfaen" w:hAnsi="Sylfaen" w:cs="Sylfaen"/>
          <w:shd w:val="clear" w:color="auto" w:fill="FFFFFF"/>
        </w:rPr>
        <w:t>შარდის</w:t>
      </w:r>
      <w:proofErr w:type="spellEnd"/>
      <w:r w:rsidRPr="00DD189E">
        <w:rPr>
          <w:rFonts w:ascii="Sylfaen" w:hAnsi="Sylfaen" w:cs="Sylfaen"/>
          <w:shd w:val="clear" w:color="auto" w:fill="FFFFFF"/>
        </w:rPr>
        <w:t xml:space="preserve"> </w:t>
      </w:r>
      <w:proofErr w:type="spellStart"/>
      <w:r w:rsidRPr="00DD189E">
        <w:rPr>
          <w:rFonts w:ascii="Sylfaen" w:hAnsi="Sylfaen" w:cs="Sylfaen"/>
          <w:shd w:val="clear" w:color="auto" w:fill="FFFFFF"/>
        </w:rPr>
        <w:t>ბუშტის</w:t>
      </w:r>
      <w:proofErr w:type="spellEnd"/>
      <w:r w:rsidRPr="00DD189E">
        <w:rPr>
          <w:rFonts w:ascii="Sylfaen" w:hAnsi="Sylfaen" w:cs="Sylfaen"/>
          <w:shd w:val="clear" w:color="auto" w:fill="FFFFFF"/>
        </w:rPr>
        <w:t xml:space="preserve">, </w:t>
      </w:r>
      <w:proofErr w:type="spellStart"/>
      <w:r w:rsidRPr="00DD189E">
        <w:rPr>
          <w:rFonts w:ascii="Sylfaen" w:hAnsi="Sylfaen" w:cs="Sylfaen"/>
          <w:shd w:val="clear" w:color="auto" w:fill="FFFFFF"/>
        </w:rPr>
        <w:t>კოლორექტუმის</w:t>
      </w:r>
      <w:proofErr w:type="spellEnd"/>
      <w:r>
        <w:rPr>
          <w:rFonts w:ascii="Sylfaen" w:hAnsi="Sylfaen" w:cs="Sylfaen"/>
          <w:shd w:val="clear" w:color="auto" w:fill="FFFFFF"/>
          <w:lang w:val="ka-GE"/>
        </w:rPr>
        <w:t xml:space="preserve">, </w:t>
      </w:r>
      <w:proofErr w:type="spellStart"/>
      <w:r w:rsidRPr="00DD189E">
        <w:rPr>
          <w:rFonts w:ascii="Sylfaen" w:hAnsi="Sylfaen" w:cs="Sylfaen"/>
          <w:shd w:val="clear" w:color="auto" w:fill="FFFFFF"/>
        </w:rPr>
        <w:t>პროსტატის</w:t>
      </w:r>
      <w:proofErr w:type="spellEnd"/>
      <w:r>
        <w:rPr>
          <w:rFonts w:ascii="Sylfaen" w:hAnsi="Sylfaen" w:cs="Sylfaen"/>
          <w:shd w:val="clear" w:color="auto" w:fill="FFFFFF"/>
        </w:rPr>
        <w:t xml:space="preserve"> </w:t>
      </w:r>
      <w:proofErr w:type="spellStart"/>
      <w:r>
        <w:rPr>
          <w:rFonts w:ascii="Sylfaen" w:hAnsi="Sylfaen" w:cs="Sylfaen"/>
          <w:shd w:val="clear" w:color="auto" w:fill="FFFFFF"/>
        </w:rPr>
        <w:t>და</w:t>
      </w:r>
      <w:proofErr w:type="spellEnd"/>
      <w:r w:rsidRPr="00DD189E">
        <w:rPr>
          <w:rFonts w:ascii="Sylfaen" w:hAnsi="Sylfaen" w:cs="Sylfaen"/>
          <w:shd w:val="clear" w:color="auto" w:fill="FFFFFF"/>
        </w:rPr>
        <w:t xml:space="preserve"> </w:t>
      </w:r>
      <w:r>
        <w:rPr>
          <w:rFonts w:ascii="Sylfaen" w:hAnsi="Sylfaen" w:cs="Sylfaen"/>
          <w:shd w:val="clear" w:color="auto" w:fill="FFFFFF"/>
          <w:lang w:val="ka-GE"/>
        </w:rPr>
        <w:t>კუჭის</w:t>
      </w:r>
      <w:r w:rsidRPr="00DD189E">
        <w:rPr>
          <w:rFonts w:ascii="Sylfaen" w:hAnsi="Sylfaen" w:cs="Sylfaen"/>
          <w:shd w:val="clear" w:color="auto" w:fill="FFFFFF"/>
        </w:rPr>
        <w:t xml:space="preserve"> </w:t>
      </w:r>
      <w:proofErr w:type="spellStart"/>
      <w:r w:rsidRPr="00DD189E">
        <w:rPr>
          <w:rFonts w:ascii="Sylfaen" w:hAnsi="Sylfaen" w:cs="Sylfaen"/>
          <w:shd w:val="clear" w:color="auto" w:fill="FFFFFF"/>
        </w:rPr>
        <w:t>კიბო</w:t>
      </w:r>
      <w:proofErr w:type="spellEnd"/>
      <w:r w:rsidRPr="00DD189E">
        <w:rPr>
          <w:rFonts w:ascii="Sylfaen" w:hAnsi="Sylfaen" w:cs="Sylfaen"/>
          <w:shd w:val="clear" w:color="auto" w:fill="FFFFFF"/>
        </w:rPr>
        <w:t>.</w:t>
      </w:r>
      <w:r>
        <w:rPr>
          <w:rFonts w:ascii="Sylfaen" w:hAnsi="Sylfaen" w:cs="Sylfaen"/>
          <w:shd w:val="clear" w:color="auto" w:fill="FFFFFF"/>
        </w:rPr>
        <w:t xml:space="preserve"> </w:t>
      </w:r>
    </w:p>
    <w:tbl>
      <w:tblPr>
        <w:tblStyle w:val="TableGrid"/>
        <w:tblW w:w="0" w:type="auto"/>
        <w:jc w:val="center"/>
        <w:tblLook w:val="04A0" w:firstRow="1" w:lastRow="0" w:firstColumn="1" w:lastColumn="0" w:noHBand="0" w:noVBand="1"/>
      </w:tblPr>
      <w:tblGrid>
        <w:gridCol w:w="3206"/>
        <w:gridCol w:w="2369"/>
        <w:gridCol w:w="2160"/>
      </w:tblGrid>
      <w:tr w:rsidR="00724379" w:rsidTr="00464A95">
        <w:trPr>
          <w:jc w:val="center"/>
        </w:trPr>
        <w:tc>
          <w:tcPr>
            <w:tcW w:w="3206" w:type="dxa"/>
          </w:tcPr>
          <w:p w:rsidR="00724379" w:rsidRPr="00DA3479" w:rsidRDefault="00724379" w:rsidP="00464A95">
            <w:pPr>
              <w:jc w:val="both"/>
              <w:rPr>
                <w:rFonts w:ascii="Sylfaen" w:hAnsi="Sylfaen" w:cs="Sylfaen"/>
                <w:b/>
                <w:shd w:val="clear" w:color="auto" w:fill="FFFFFF"/>
              </w:rPr>
            </w:pPr>
            <w:r w:rsidRPr="00DA3479">
              <w:rPr>
                <w:rFonts w:ascii="Sylfaen" w:hAnsi="Sylfaen" w:cs="Sylfaen"/>
                <w:b/>
                <w:shd w:val="clear" w:color="auto" w:fill="FFFFFF"/>
              </w:rPr>
              <w:t>ონკოლოგიური დაავადება</w:t>
            </w:r>
          </w:p>
        </w:tc>
        <w:tc>
          <w:tcPr>
            <w:tcW w:w="2369" w:type="dxa"/>
          </w:tcPr>
          <w:p w:rsidR="00724379" w:rsidRPr="00DA3479" w:rsidRDefault="00724379" w:rsidP="00464A95">
            <w:pPr>
              <w:jc w:val="center"/>
              <w:rPr>
                <w:rFonts w:ascii="Sylfaen" w:hAnsi="Sylfaen" w:cs="Sylfaen"/>
                <w:b/>
                <w:shd w:val="clear" w:color="auto" w:fill="FFFFFF"/>
              </w:rPr>
            </w:pPr>
            <w:r>
              <w:rPr>
                <w:rFonts w:ascii="Sylfaen" w:hAnsi="Sylfaen" w:cs="Sylfaen"/>
                <w:b/>
                <w:shd w:val="clear" w:color="auto" w:fill="FFFFFF"/>
              </w:rPr>
              <w:t>შემთხვევების  რ-ბა</w:t>
            </w:r>
          </w:p>
        </w:tc>
        <w:tc>
          <w:tcPr>
            <w:tcW w:w="2160" w:type="dxa"/>
          </w:tcPr>
          <w:p w:rsidR="00724379" w:rsidRPr="00DA3479" w:rsidRDefault="00724379" w:rsidP="00464A95">
            <w:pPr>
              <w:jc w:val="center"/>
              <w:rPr>
                <w:rFonts w:ascii="Sylfaen" w:hAnsi="Sylfaen" w:cs="Sylfaen"/>
                <w:b/>
                <w:shd w:val="clear" w:color="auto" w:fill="FFFFFF"/>
              </w:rPr>
            </w:pPr>
            <w:r>
              <w:rPr>
                <w:rFonts w:ascii="Sylfaen" w:hAnsi="Sylfaen" w:cs="Sylfaen"/>
                <w:b/>
                <w:shd w:val="clear" w:color="auto" w:fill="FFFFFF"/>
              </w:rPr>
              <w:t>ავადობა 1000 000 კაცზე</w:t>
            </w:r>
          </w:p>
        </w:tc>
      </w:tr>
      <w:tr w:rsidR="00724379" w:rsidTr="00464A95">
        <w:trPr>
          <w:jc w:val="center"/>
        </w:trPr>
        <w:tc>
          <w:tcPr>
            <w:tcW w:w="3206" w:type="dxa"/>
          </w:tcPr>
          <w:p w:rsidR="00724379" w:rsidRDefault="00724379" w:rsidP="00464A95">
            <w:pPr>
              <w:spacing w:after="120"/>
              <w:jc w:val="both"/>
              <w:rPr>
                <w:rFonts w:ascii="Sylfaen" w:hAnsi="Sylfaen" w:cs="Sylfaen"/>
                <w:shd w:val="clear" w:color="auto" w:fill="FFFFFF"/>
              </w:rPr>
            </w:pPr>
            <w:r w:rsidRPr="00DD189E">
              <w:rPr>
                <w:rFonts w:ascii="Sylfaen" w:hAnsi="Sylfaen" w:cs="Sylfaen"/>
                <w:shd w:val="clear" w:color="auto" w:fill="FFFFFF"/>
              </w:rPr>
              <w:t>ტრაქეა</w:t>
            </w:r>
            <w:r>
              <w:rPr>
                <w:rFonts w:ascii="Sylfaen" w:hAnsi="Sylfaen" w:cs="Sylfaen"/>
                <w:shd w:val="clear" w:color="auto" w:fill="FFFFFF"/>
              </w:rPr>
              <w:t>/ბრონქები/ფილტვი</w:t>
            </w:r>
          </w:p>
        </w:tc>
        <w:tc>
          <w:tcPr>
            <w:tcW w:w="2369" w:type="dxa"/>
          </w:tcPr>
          <w:p w:rsidR="00724379" w:rsidRPr="00260D48" w:rsidRDefault="00724379" w:rsidP="00464A95">
            <w:pPr>
              <w:spacing w:after="120"/>
              <w:jc w:val="center"/>
              <w:rPr>
                <w:rFonts w:ascii="Sylfaen" w:hAnsi="Sylfaen" w:cs="Sylfaen"/>
                <w:shd w:val="clear" w:color="auto" w:fill="FFFFFF"/>
              </w:rPr>
            </w:pPr>
            <w:r>
              <w:rPr>
                <w:rFonts w:ascii="Sylfaen" w:hAnsi="Sylfaen" w:cs="Sylfaen"/>
                <w:shd w:val="clear" w:color="auto" w:fill="FFFFFF"/>
              </w:rPr>
              <w:t>573</w:t>
            </w:r>
          </w:p>
        </w:tc>
        <w:tc>
          <w:tcPr>
            <w:tcW w:w="2160" w:type="dxa"/>
          </w:tcPr>
          <w:p w:rsidR="00724379" w:rsidRPr="00260D48" w:rsidRDefault="00724379" w:rsidP="00464A95">
            <w:pPr>
              <w:spacing w:after="120"/>
              <w:jc w:val="center"/>
              <w:rPr>
                <w:rFonts w:ascii="Sylfaen" w:hAnsi="Sylfaen" w:cs="Sylfaen"/>
                <w:shd w:val="clear" w:color="auto" w:fill="FFFFFF"/>
              </w:rPr>
            </w:pPr>
            <w:r>
              <w:rPr>
                <w:rFonts w:ascii="Sylfaen" w:hAnsi="Sylfaen" w:cs="Sylfaen"/>
                <w:shd w:val="clear" w:color="auto" w:fill="FFFFFF"/>
              </w:rPr>
              <w:t>32.1</w:t>
            </w:r>
          </w:p>
        </w:tc>
      </w:tr>
      <w:tr w:rsidR="00724379" w:rsidTr="00464A95">
        <w:trPr>
          <w:jc w:val="center"/>
        </w:trPr>
        <w:tc>
          <w:tcPr>
            <w:tcW w:w="3206" w:type="dxa"/>
          </w:tcPr>
          <w:p w:rsidR="00724379" w:rsidRDefault="00724379" w:rsidP="00464A95">
            <w:pPr>
              <w:spacing w:after="120"/>
              <w:jc w:val="both"/>
              <w:rPr>
                <w:rFonts w:ascii="Sylfaen" w:hAnsi="Sylfaen" w:cs="Sylfaen"/>
                <w:shd w:val="clear" w:color="auto" w:fill="FFFFFF"/>
              </w:rPr>
            </w:pPr>
            <w:r w:rsidRPr="00DD189E">
              <w:rPr>
                <w:rFonts w:ascii="Sylfaen" w:hAnsi="Sylfaen" w:cs="Sylfaen"/>
                <w:shd w:val="clear" w:color="auto" w:fill="FFFFFF"/>
              </w:rPr>
              <w:t xml:space="preserve">შარდის </w:t>
            </w:r>
            <w:r>
              <w:rPr>
                <w:rFonts w:ascii="Sylfaen" w:hAnsi="Sylfaen" w:cs="Sylfaen"/>
                <w:shd w:val="clear" w:color="auto" w:fill="FFFFFF"/>
              </w:rPr>
              <w:t>ბუშტი</w:t>
            </w:r>
          </w:p>
        </w:tc>
        <w:tc>
          <w:tcPr>
            <w:tcW w:w="2369" w:type="dxa"/>
          </w:tcPr>
          <w:p w:rsidR="00724379" w:rsidRPr="00260D48" w:rsidRDefault="00724379" w:rsidP="00464A95">
            <w:pPr>
              <w:spacing w:after="120"/>
              <w:jc w:val="center"/>
              <w:rPr>
                <w:rFonts w:ascii="Sylfaen" w:hAnsi="Sylfaen" w:cs="Sylfaen"/>
                <w:shd w:val="clear" w:color="auto" w:fill="FFFFFF"/>
              </w:rPr>
            </w:pPr>
            <w:r>
              <w:rPr>
                <w:rFonts w:ascii="Sylfaen" w:hAnsi="Sylfaen" w:cs="Sylfaen"/>
                <w:shd w:val="clear" w:color="auto" w:fill="FFFFFF"/>
              </w:rPr>
              <w:t>411</w:t>
            </w:r>
          </w:p>
        </w:tc>
        <w:tc>
          <w:tcPr>
            <w:tcW w:w="2160" w:type="dxa"/>
          </w:tcPr>
          <w:p w:rsidR="00724379" w:rsidRPr="00260D48" w:rsidRDefault="00724379" w:rsidP="00464A95">
            <w:pPr>
              <w:spacing w:after="120"/>
              <w:jc w:val="center"/>
              <w:rPr>
                <w:rFonts w:ascii="Sylfaen" w:hAnsi="Sylfaen" w:cs="Sylfaen"/>
                <w:shd w:val="clear" w:color="auto" w:fill="FFFFFF"/>
              </w:rPr>
            </w:pPr>
            <w:r>
              <w:rPr>
                <w:rFonts w:ascii="Sylfaen" w:hAnsi="Sylfaen" w:cs="Sylfaen"/>
                <w:shd w:val="clear" w:color="auto" w:fill="FFFFFF"/>
              </w:rPr>
              <w:t>21.2</w:t>
            </w:r>
          </w:p>
        </w:tc>
      </w:tr>
      <w:tr w:rsidR="00724379" w:rsidTr="00464A95">
        <w:trPr>
          <w:jc w:val="center"/>
        </w:trPr>
        <w:tc>
          <w:tcPr>
            <w:tcW w:w="3206" w:type="dxa"/>
          </w:tcPr>
          <w:p w:rsidR="00724379" w:rsidRDefault="00724379" w:rsidP="00464A95">
            <w:pPr>
              <w:spacing w:after="120"/>
              <w:jc w:val="both"/>
              <w:rPr>
                <w:rFonts w:ascii="Sylfaen" w:hAnsi="Sylfaen" w:cs="Sylfaen"/>
                <w:shd w:val="clear" w:color="auto" w:fill="FFFFFF"/>
              </w:rPr>
            </w:pPr>
            <w:r>
              <w:rPr>
                <w:rFonts w:ascii="Sylfaen" w:hAnsi="Sylfaen" w:cs="Sylfaen"/>
                <w:shd w:val="clear" w:color="auto" w:fill="FFFFFF"/>
              </w:rPr>
              <w:t>კოლორექტუმი</w:t>
            </w:r>
          </w:p>
        </w:tc>
        <w:tc>
          <w:tcPr>
            <w:tcW w:w="2369" w:type="dxa"/>
          </w:tcPr>
          <w:p w:rsidR="00724379" w:rsidRPr="00260D48" w:rsidRDefault="00724379" w:rsidP="00464A95">
            <w:pPr>
              <w:spacing w:after="120"/>
              <w:jc w:val="center"/>
              <w:rPr>
                <w:rFonts w:ascii="Sylfaen" w:hAnsi="Sylfaen" w:cs="Sylfaen"/>
                <w:shd w:val="clear" w:color="auto" w:fill="FFFFFF"/>
              </w:rPr>
            </w:pPr>
            <w:r>
              <w:rPr>
                <w:rFonts w:ascii="Sylfaen" w:hAnsi="Sylfaen" w:cs="Sylfaen"/>
                <w:shd w:val="clear" w:color="auto" w:fill="FFFFFF"/>
              </w:rPr>
              <w:t>364</w:t>
            </w:r>
          </w:p>
        </w:tc>
        <w:tc>
          <w:tcPr>
            <w:tcW w:w="2160" w:type="dxa"/>
          </w:tcPr>
          <w:p w:rsidR="00724379" w:rsidRPr="00260D48" w:rsidRDefault="00724379" w:rsidP="00464A95">
            <w:pPr>
              <w:spacing w:after="120"/>
              <w:jc w:val="center"/>
              <w:rPr>
                <w:rFonts w:ascii="Sylfaen" w:hAnsi="Sylfaen" w:cs="Sylfaen"/>
                <w:shd w:val="clear" w:color="auto" w:fill="FFFFFF"/>
              </w:rPr>
            </w:pPr>
            <w:r>
              <w:rPr>
                <w:rFonts w:ascii="Sylfaen" w:hAnsi="Sylfaen" w:cs="Sylfaen"/>
                <w:shd w:val="clear" w:color="auto" w:fill="FFFFFF"/>
              </w:rPr>
              <w:t>18.8</w:t>
            </w:r>
          </w:p>
        </w:tc>
      </w:tr>
      <w:tr w:rsidR="00724379" w:rsidTr="00464A95">
        <w:trPr>
          <w:jc w:val="center"/>
        </w:trPr>
        <w:tc>
          <w:tcPr>
            <w:tcW w:w="3206" w:type="dxa"/>
          </w:tcPr>
          <w:p w:rsidR="00724379" w:rsidRDefault="00724379" w:rsidP="00464A95">
            <w:pPr>
              <w:spacing w:after="120"/>
              <w:jc w:val="both"/>
              <w:rPr>
                <w:rFonts w:ascii="Sylfaen" w:hAnsi="Sylfaen" w:cs="Sylfaen"/>
                <w:shd w:val="clear" w:color="auto" w:fill="FFFFFF"/>
              </w:rPr>
            </w:pPr>
            <w:r>
              <w:rPr>
                <w:rFonts w:ascii="Sylfaen" w:hAnsi="Sylfaen" w:cs="Sylfaen"/>
                <w:shd w:val="clear" w:color="auto" w:fill="FFFFFF"/>
              </w:rPr>
              <w:t>პროსტატა</w:t>
            </w:r>
          </w:p>
        </w:tc>
        <w:tc>
          <w:tcPr>
            <w:tcW w:w="2369" w:type="dxa"/>
          </w:tcPr>
          <w:p w:rsidR="00724379" w:rsidRPr="00260D48" w:rsidRDefault="00724379" w:rsidP="00464A95">
            <w:pPr>
              <w:spacing w:after="120"/>
              <w:jc w:val="center"/>
              <w:rPr>
                <w:rFonts w:ascii="Sylfaen" w:hAnsi="Sylfaen" w:cs="Sylfaen"/>
                <w:shd w:val="clear" w:color="auto" w:fill="FFFFFF"/>
              </w:rPr>
            </w:pPr>
            <w:r>
              <w:rPr>
                <w:rFonts w:ascii="Sylfaen" w:hAnsi="Sylfaen" w:cs="Sylfaen"/>
                <w:shd w:val="clear" w:color="auto" w:fill="FFFFFF"/>
              </w:rPr>
              <w:t>337</w:t>
            </w:r>
          </w:p>
        </w:tc>
        <w:tc>
          <w:tcPr>
            <w:tcW w:w="2160" w:type="dxa"/>
          </w:tcPr>
          <w:p w:rsidR="00724379" w:rsidRPr="00260D48" w:rsidRDefault="00724379" w:rsidP="00464A95">
            <w:pPr>
              <w:spacing w:after="120"/>
              <w:jc w:val="center"/>
              <w:rPr>
                <w:rFonts w:ascii="Sylfaen" w:hAnsi="Sylfaen" w:cs="Sylfaen"/>
                <w:shd w:val="clear" w:color="auto" w:fill="FFFFFF"/>
              </w:rPr>
            </w:pPr>
            <w:r>
              <w:rPr>
                <w:rFonts w:ascii="Sylfaen" w:hAnsi="Sylfaen" w:cs="Sylfaen"/>
                <w:shd w:val="clear" w:color="auto" w:fill="FFFFFF"/>
              </w:rPr>
              <w:t>17.4</w:t>
            </w:r>
          </w:p>
        </w:tc>
      </w:tr>
      <w:tr w:rsidR="00724379" w:rsidTr="00464A95">
        <w:trPr>
          <w:jc w:val="center"/>
        </w:trPr>
        <w:tc>
          <w:tcPr>
            <w:tcW w:w="3206" w:type="dxa"/>
          </w:tcPr>
          <w:p w:rsidR="00724379" w:rsidRDefault="00724379" w:rsidP="00464A95">
            <w:pPr>
              <w:spacing w:after="120"/>
              <w:jc w:val="both"/>
              <w:rPr>
                <w:rFonts w:ascii="Sylfaen" w:hAnsi="Sylfaen" w:cs="Sylfaen"/>
                <w:shd w:val="clear" w:color="auto" w:fill="FFFFFF"/>
              </w:rPr>
            </w:pPr>
            <w:r>
              <w:rPr>
                <w:rFonts w:ascii="Sylfaen" w:hAnsi="Sylfaen" w:cs="Sylfaen"/>
                <w:shd w:val="clear" w:color="auto" w:fill="FFFFFF"/>
              </w:rPr>
              <w:t>კუჭი</w:t>
            </w:r>
          </w:p>
        </w:tc>
        <w:tc>
          <w:tcPr>
            <w:tcW w:w="2369" w:type="dxa"/>
          </w:tcPr>
          <w:p w:rsidR="00724379" w:rsidRPr="00260D48" w:rsidRDefault="00724379" w:rsidP="00464A95">
            <w:pPr>
              <w:spacing w:after="120"/>
              <w:jc w:val="center"/>
              <w:rPr>
                <w:rFonts w:ascii="Sylfaen" w:hAnsi="Sylfaen" w:cs="Sylfaen"/>
                <w:shd w:val="clear" w:color="auto" w:fill="FFFFFF"/>
              </w:rPr>
            </w:pPr>
            <w:r>
              <w:rPr>
                <w:rFonts w:ascii="Sylfaen" w:hAnsi="Sylfaen" w:cs="Sylfaen"/>
                <w:shd w:val="clear" w:color="auto" w:fill="FFFFFF"/>
              </w:rPr>
              <w:t>219</w:t>
            </w:r>
          </w:p>
        </w:tc>
        <w:tc>
          <w:tcPr>
            <w:tcW w:w="2160" w:type="dxa"/>
          </w:tcPr>
          <w:p w:rsidR="00724379" w:rsidRPr="00260D48" w:rsidRDefault="00724379" w:rsidP="00464A95">
            <w:pPr>
              <w:spacing w:after="120"/>
              <w:jc w:val="center"/>
              <w:rPr>
                <w:rFonts w:ascii="Sylfaen" w:hAnsi="Sylfaen" w:cs="Sylfaen"/>
                <w:shd w:val="clear" w:color="auto" w:fill="FFFFFF"/>
              </w:rPr>
            </w:pPr>
            <w:r>
              <w:rPr>
                <w:rFonts w:ascii="Sylfaen" w:hAnsi="Sylfaen" w:cs="Sylfaen"/>
                <w:shd w:val="clear" w:color="auto" w:fill="FFFFFF"/>
              </w:rPr>
              <w:t>11.3</w:t>
            </w:r>
          </w:p>
        </w:tc>
      </w:tr>
    </w:tbl>
    <w:p w:rsidR="00724379" w:rsidRPr="00B02CE0" w:rsidRDefault="00724379" w:rsidP="00724379">
      <w:pPr>
        <w:jc w:val="both"/>
        <w:rPr>
          <w:rFonts w:ascii="Sylfaen" w:hAnsi="Sylfaen"/>
          <w:lang w:val="ka-GE"/>
        </w:rPr>
      </w:pPr>
      <w:r>
        <w:rPr>
          <w:rFonts w:ascii="Sylfaen" w:hAnsi="Sylfaen"/>
          <w:lang w:val="ka-GE"/>
        </w:rPr>
        <w:t xml:space="preserve">მამაკაცთა შორის ხუთი ყველაზე ფართოდ გავრცელებული ონკოლოგიური დაავადების შეფასება გამოვლენისას დასმული სტადიების მიხედვით, უჩვენებს, რომ პირველ და მეორე სტადიაზე გამოვლენა განსაკუთრებით დაბალია </w:t>
      </w:r>
      <w:proofErr w:type="spellStart"/>
      <w:r w:rsidRPr="00DD189E">
        <w:rPr>
          <w:rFonts w:ascii="Sylfaen" w:hAnsi="Sylfaen" w:cs="Sylfaen"/>
          <w:shd w:val="clear" w:color="auto" w:fill="FFFFFF"/>
        </w:rPr>
        <w:t>ტრაქეა</w:t>
      </w:r>
      <w:proofErr w:type="spellEnd"/>
      <w:r>
        <w:rPr>
          <w:rFonts w:ascii="Sylfaen" w:hAnsi="Sylfaen" w:cs="Sylfaen"/>
          <w:shd w:val="clear" w:color="auto" w:fill="FFFFFF"/>
        </w:rPr>
        <w:t>/</w:t>
      </w:r>
      <w:proofErr w:type="spellStart"/>
      <w:r>
        <w:rPr>
          <w:rFonts w:ascii="Sylfaen" w:hAnsi="Sylfaen" w:cs="Sylfaen"/>
          <w:shd w:val="clear" w:color="auto" w:fill="FFFFFF"/>
        </w:rPr>
        <w:t>ბრონქები</w:t>
      </w:r>
      <w:proofErr w:type="spellEnd"/>
      <w:r>
        <w:rPr>
          <w:rFonts w:ascii="Sylfaen" w:hAnsi="Sylfaen" w:cs="Sylfaen"/>
          <w:shd w:val="clear" w:color="auto" w:fill="FFFFFF"/>
        </w:rPr>
        <w:t>/</w:t>
      </w:r>
      <w:proofErr w:type="spellStart"/>
      <w:r w:rsidRPr="00DD189E">
        <w:rPr>
          <w:rFonts w:ascii="Sylfaen" w:hAnsi="Sylfaen" w:cs="Sylfaen"/>
          <w:shd w:val="clear" w:color="auto" w:fill="FFFFFF"/>
        </w:rPr>
        <w:t>ფილტვის</w:t>
      </w:r>
      <w:proofErr w:type="spellEnd"/>
      <w:r>
        <w:rPr>
          <w:rFonts w:ascii="Sylfaen" w:hAnsi="Sylfaen" w:cs="Sylfaen"/>
          <w:shd w:val="clear" w:color="auto" w:fill="FFFFFF"/>
          <w:lang w:val="ka-GE"/>
        </w:rPr>
        <w:t xml:space="preserve"> და კუჭის</w:t>
      </w:r>
      <w:r>
        <w:rPr>
          <w:rFonts w:ascii="Sylfaen" w:hAnsi="Sylfaen" w:cs="Sylfaen"/>
          <w:shd w:val="clear" w:color="auto" w:fill="FFFFFF"/>
        </w:rPr>
        <w:t xml:space="preserve"> </w:t>
      </w:r>
      <w:r>
        <w:rPr>
          <w:rFonts w:ascii="Sylfaen" w:hAnsi="Sylfaen" w:cs="Sylfaen"/>
          <w:shd w:val="clear" w:color="auto" w:fill="FFFFFF"/>
          <w:lang w:val="ka-GE"/>
        </w:rPr>
        <w:t xml:space="preserve">კიბოს </w:t>
      </w:r>
      <w:proofErr w:type="spellStart"/>
      <w:r>
        <w:rPr>
          <w:rFonts w:ascii="Sylfaen" w:hAnsi="Sylfaen" w:cs="Sylfaen"/>
          <w:shd w:val="clear" w:color="auto" w:fill="FFFFFF"/>
        </w:rPr>
        <w:t>შემთხვევაში</w:t>
      </w:r>
      <w:proofErr w:type="spellEnd"/>
      <w:r>
        <w:rPr>
          <w:rFonts w:ascii="Sylfaen" w:hAnsi="Sylfaen" w:cs="Sylfaen"/>
          <w:shd w:val="clear" w:color="auto" w:fill="FFFFFF"/>
        </w:rPr>
        <w:t xml:space="preserve"> </w:t>
      </w:r>
      <w:r w:rsidRPr="00585DBC">
        <w:rPr>
          <w:rFonts w:ascii="Sylfaen" w:hAnsi="Sylfaen" w:cs="Sylfaen"/>
          <w:shd w:val="clear" w:color="auto" w:fill="FFFFFF"/>
        </w:rPr>
        <w:t>(</w:t>
      </w:r>
      <w:r w:rsidRPr="00585DBC">
        <w:rPr>
          <w:rFonts w:ascii="Sylfaen" w:hAnsi="Sylfaen" w:cs="Sylfaen"/>
          <w:shd w:val="clear" w:color="auto" w:fill="FFFFFF"/>
          <w:lang w:val="ka-GE"/>
        </w:rPr>
        <w:t>9.1% და 13.7%</w:t>
      </w:r>
      <w:r>
        <w:rPr>
          <w:rFonts w:ascii="Sylfaen" w:hAnsi="Sylfaen" w:cs="Sylfaen"/>
          <w:shd w:val="clear" w:color="auto" w:fill="FFFFFF"/>
          <w:lang w:val="ka-GE"/>
        </w:rPr>
        <w:t xml:space="preserve"> შესაბამისად); რაც მიუთითებს მოსახლეობის ნაკლებ ინფორმირებულობაზე ონკოლოგიური დაავადების სიმპტომებისა და რისკის ფაქტორების შესახებ, ხოლო კოლორექტალური კიბოს დაგვიანებულ სტადიაზე გამოვლენა </w:t>
      </w:r>
      <w:r w:rsidRPr="00585DBC">
        <w:rPr>
          <w:rFonts w:ascii="Sylfaen" w:hAnsi="Sylfaen" w:cs="Sylfaen"/>
          <w:shd w:val="clear" w:color="auto" w:fill="FFFFFF"/>
          <w:lang w:val="ka-GE"/>
        </w:rPr>
        <w:t>(მხოლოდ 19.2%</w:t>
      </w:r>
      <w:r>
        <w:rPr>
          <w:rFonts w:ascii="Sylfaen" w:hAnsi="Sylfaen" w:cs="Sylfaen"/>
          <w:shd w:val="clear" w:color="auto" w:fill="FFFFFF"/>
          <w:lang w:val="ka-GE"/>
        </w:rPr>
        <w:t xml:space="preserve"> იყო გამოვლენილი პირველ და </w:t>
      </w:r>
      <w:r w:rsidRPr="00992E1C">
        <w:rPr>
          <w:rFonts w:ascii="Sylfaen" w:hAnsi="Sylfaen" w:cs="Sylfaen"/>
          <w:shd w:val="clear" w:color="auto" w:fill="FFFFFF"/>
          <w:lang w:val="ka-GE"/>
        </w:rPr>
        <w:t>მეორე სტადიაზე) ადასტურებს, რომ მოსახლეობა არ მონაწილეობს სკრინინგულ პროგრამებში (სურათი 57).</w:t>
      </w:r>
      <w:r>
        <w:rPr>
          <w:rFonts w:ascii="Sylfaen" w:hAnsi="Sylfaen" w:cs="Sylfaen"/>
          <w:shd w:val="clear" w:color="auto" w:fill="FFFFFF"/>
          <w:lang w:val="ka-GE"/>
        </w:rPr>
        <w:t xml:space="preserve">   </w:t>
      </w:r>
    </w:p>
    <w:p w:rsidR="00724379" w:rsidRPr="00E967D2" w:rsidRDefault="00724379" w:rsidP="00724379">
      <w:pPr>
        <w:jc w:val="both"/>
        <w:rPr>
          <w:rFonts w:ascii="Sylfaen" w:hAnsi="Sylfaen"/>
          <w:b/>
          <w:lang w:val="ka-GE"/>
        </w:rPr>
      </w:pPr>
      <w:r>
        <w:rPr>
          <w:rFonts w:ascii="Sylfaen" w:hAnsi="Sylfaen"/>
          <w:lang w:val="ka-GE"/>
        </w:rPr>
        <w:t>სურათი 57. მამაკაცთა შორის ხუთი ყველაზე მაღალი ინციდენტობის მქონე ონკოლოგიური დაავადების სტადიები გამოვლენისას</w:t>
      </w:r>
    </w:p>
    <w:p w:rsidR="00724379" w:rsidRPr="00EA4E3A" w:rsidRDefault="00724379" w:rsidP="00724379">
      <w:pPr>
        <w:jc w:val="both"/>
        <w:rPr>
          <w:rFonts w:ascii="Sylfaen" w:hAnsi="Sylfaen"/>
          <w:lang w:val="ka-GE"/>
        </w:rPr>
      </w:pPr>
      <w:r w:rsidRPr="00E00D6A">
        <w:rPr>
          <w:rFonts w:ascii="Sylfaen" w:hAnsi="Sylfaen"/>
          <w:b/>
          <w:noProof/>
          <w:sz w:val="24"/>
          <w:szCs w:val="24"/>
        </w:rPr>
        <w:lastRenderedPageBreak/>
        <w:drawing>
          <wp:inline distT="0" distB="0" distL="0" distR="0" wp14:anchorId="28FAC8D9" wp14:editId="37F7EB40">
            <wp:extent cx="6115050" cy="2000250"/>
            <wp:effectExtent l="57150" t="57150" r="38100" b="38100"/>
            <wp:docPr id="1057" name="Chart 10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724379" w:rsidRPr="00992E1C" w:rsidRDefault="00724379" w:rsidP="00724379">
      <w:pPr>
        <w:tabs>
          <w:tab w:val="left" w:pos="960"/>
        </w:tabs>
        <w:jc w:val="both"/>
        <w:rPr>
          <w:rFonts w:ascii="Sylfaen" w:hAnsi="Sylfaen"/>
          <w:lang w:val="ka-GE"/>
        </w:rPr>
      </w:pPr>
      <w:r>
        <w:rPr>
          <w:rFonts w:ascii="Sylfaen" w:hAnsi="Sylfaen"/>
          <w:lang w:val="ka-GE"/>
        </w:rPr>
        <w:t xml:space="preserve">მამაკაცთა შორის ონკოლოგიური დაავადებების ასაკობრივი თავისებურებების შეფასება აჩვენებს, რომ 79 წლამდე ყველა ასაკობრივ ჯგუფში </w:t>
      </w:r>
      <w:proofErr w:type="spellStart"/>
      <w:r w:rsidRPr="00DD189E">
        <w:rPr>
          <w:rFonts w:ascii="Sylfaen" w:hAnsi="Sylfaen" w:cs="Sylfaen"/>
          <w:shd w:val="clear" w:color="auto" w:fill="FFFFFF"/>
        </w:rPr>
        <w:t>ტრაქეა</w:t>
      </w:r>
      <w:proofErr w:type="spellEnd"/>
      <w:r>
        <w:rPr>
          <w:rFonts w:ascii="Sylfaen" w:hAnsi="Sylfaen" w:cs="Sylfaen"/>
          <w:shd w:val="clear" w:color="auto" w:fill="FFFFFF"/>
        </w:rPr>
        <w:t>/</w:t>
      </w:r>
      <w:proofErr w:type="spellStart"/>
      <w:r>
        <w:rPr>
          <w:rFonts w:ascii="Sylfaen" w:hAnsi="Sylfaen" w:cs="Sylfaen"/>
          <w:shd w:val="clear" w:color="auto" w:fill="FFFFFF"/>
        </w:rPr>
        <w:t>ბრონქები</w:t>
      </w:r>
      <w:proofErr w:type="spellEnd"/>
      <w:r>
        <w:rPr>
          <w:rFonts w:ascii="Sylfaen" w:hAnsi="Sylfaen" w:cs="Sylfaen"/>
          <w:shd w:val="clear" w:color="auto" w:fill="FFFFFF"/>
        </w:rPr>
        <w:t>/</w:t>
      </w:r>
      <w:proofErr w:type="spellStart"/>
      <w:r w:rsidRPr="00DD189E">
        <w:rPr>
          <w:rFonts w:ascii="Sylfaen" w:hAnsi="Sylfaen" w:cs="Sylfaen"/>
          <w:shd w:val="clear" w:color="auto" w:fill="FFFFFF"/>
        </w:rPr>
        <w:t>ფილტვის</w:t>
      </w:r>
      <w:proofErr w:type="spellEnd"/>
      <w:r>
        <w:rPr>
          <w:rFonts w:ascii="Sylfaen" w:hAnsi="Sylfaen" w:cs="Sylfaen"/>
          <w:shd w:val="clear" w:color="auto" w:fill="FFFFFF"/>
        </w:rPr>
        <w:t xml:space="preserve"> </w:t>
      </w:r>
      <w:proofErr w:type="spellStart"/>
      <w:r>
        <w:rPr>
          <w:rFonts w:ascii="Sylfaen" w:hAnsi="Sylfaen" w:cs="Sylfaen"/>
          <w:shd w:val="clear" w:color="auto" w:fill="FFFFFF"/>
        </w:rPr>
        <w:t>კიბო</w:t>
      </w:r>
      <w:proofErr w:type="spellEnd"/>
      <w:r>
        <w:rPr>
          <w:rFonts w:ascii="Sylfaen" w:hAnsi="Sylfaen" w:cs="Sylfaen"/>
          <w:shd w:val="clear" w:color="auto" w:fill="FFFFFF"/>
          <w:lang w:val="ka-GE"/>
        </w:rPr>
        <w:t xml:space="preserve"> </w:t>
      </w:r>
      <w:r>
        <w:rPr>
          <w:rFonts w:ascii="Sylfaen" w:hAnsi="Sylfaen"/>
          <w:lang w:val="ka-GE"/>
        </w:rPr>
        <w:t>ლიდერობს</w:t>
      </w:r>
      <w:r>
        <w:rPr>
          <w:rFonts w:ascii="Sylfaen" w:hAnsi="Sylfaen" w:cs="Sylfaen"/>
          <w:shd w:val="clear" w:color="auto" w:fill="FFFFFF"/>
        </w:rPr>
        <w:t xml:space="preserve">, </w:t>
      </w:r>
      <w:r>
        <w:rPr>
          <w:rFonts w:ascii="Sylfaen" w:hAnsi="Sylfaen" w:cs="Sylfaen"/>
          <w:shd w:val="clear" w:color="auto" w:fill="FFFFFF"/>
          <w:lang w:val="ka-GE"/>
        </w:rPr>
        <w:t xml:space="preserve">ხოლო შემდეგ - პროსტატის კიბო. </w:t>
      </w:r>
      <w:r>
        <w:rPr>
          <w:rFonts w:ascii="Sylfaen" w:hAnsi="Sylfaen"/>
          <w:lang w:val="ka-GE"/>
        </w:rPr>
        <w:t>ყველა ზემოთჩამოთვლილი ონკოლოგიური დაავადების ინციდენტობა მაქსიმუმს 65–79 წლის ასაკობრივ ჯგუში ვ</w:t>
      </w:r>
      <w:r w:rsidRPr="00992E1C">
        <w:rPr>
          <w:rFonts w:ascii="Sylfaen" w:hAnsi="Sylfaen"/>
          <w:lang w:val="ka-GE"/>
        </w:rPr>
        <w:t xml:space="preserve">ლინდება (სურათი 58). </w:t>
      </w:r>
    </w:p>
    <w:p w:rsidR="00724379" w:rsidRDefault="00724379" w:rsidP="00724379">
      <w:pPr>
        <w:jc w:val="both"/>
        <w:rPr>
          <w:rFonts w:ascii="Sylfaen" w:hAnsi="Sylfaen"/>
          <w:lang w:val="ka-GE"/>
        </w:rPr>
      </w:pPr>
      <w:r w:rsidRPr="00992E1C">
        <w:rPr>
          <w:rFonts w:ascii="Sylfaen" w:hAnsi="Sylfaen"/>
          <w:lang w:val="ka-GE"/>
        </w:rPr>
        <w:t>სურათი 58. მამაკაცთა შორის ხუთი ყველაზე მაღალი ინციდენტობის</w:t>
      </w:r>
      <w:r>
        <w:rPr>
          <w:rFonts w:ascii="Sylfaen" w:hAnsi="Sylfaen"/>
          <w:lang w:val="ka-GE"/>
        </w:rPr>
        <w:t xml:space="preserve"> მქონე კიბოს  ასაკ-სპეციფიკური ავადობის მაჩვენებელი 100000 მამაკაცზე, საქართველო, 2017</w:t>
      </w:r>
    </w:p>
    <w:p w:rsidR="00724379" w:rsidRDefault="00724379" w:rsidP="00724379">
      <w:pPr>
        <w:jc w:val="both"/>
        <w:rPr>
          <w:rFonts w:ascii="Sylfaen" w:hAnsi="Sylfaen"/>
          <w:lang w:val="ka-GE"/>
        </w:rPr>
      </w:pPr>
      <w:r w:rsidRPr="003A3FEB">
        <w:rPr>
          <w:rFonts w:ascii="Sylfaen" w:hAnsi="Sylfaen"/>
          <w:b/>
          <w:noProof/>
          <w:sz w:val="24"/>
          <w:szCs w:val="24"/>
        </w:rPr>
        <w:drawing>
          <wp:inline distT="0" distB="0" distL="0" distR="0" wp14:anchorId="3D08B57D" wp14:editId="122761F1">
            <wp:extent cx="6115050" cy="1962150"/>
            <wp:effectExtent l="0" t="0" r="0" b="0"/>
            <wp:docPr id="1058" name="Chart 10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724379" w:rsidRDefault="00724379" w:rsidP="00724379">
      <w:pPr>
        <w:jc w:val="both"/>
        <w:rPr>
          <w:rFonts w:ascii="Sylfaen" w:hAnsi="Sylfaen"/>
          <w:lang w:val="ka-GE"/>
        </w:rPr>
      </w:pPr>
      <w:r>
        <w:rPr>
          <w:rFonts w:ascii="Sylfaen" w:hAnsi="Sylfaen"/>
          <w:lang w:val="ka-GE"/>
        </w:rPr>
        <w:t>კიბოს სკრინინგით მოცვის მაჩვენებლები კიბოს ლოკალიზაციის მიხედვით, საქართველო, 2017</w:t>
      </w:r>
    </w:p>
    <w:tbl>
      <w:tblPr>
        <w:tblW w:w="7122" w:type="dxa"/>
        <w:jc w:val="center"/>
        <w:tblLook w:val="04A0" w:firstRow="1" w:lastRow="0" w:firstColumn="1" w:lastColumn="0" w:noHBand="0" w:noVBand="1"/>
      </w:tblPr>
      <w:tblGrid>
        <w:gridCol w:w="2890"/>
        <w:gridCol w:w="2105"/>
        <w:gridCol w:w="2127"/>
      </w:tblGrid>
      <w:tr w:rsidR="00724379" w:rsidRPr="00887A33" w:rsidTr="00464A95">
        <w:trPr>
          <w:trHeight w:val="555"/>
          <w:jc w:val="center"/>
        </w:trPr>
        <w:tc>
          <w:tcPr>
            <w:tcW w:w="2890" w:type="dxa"/>
            <w:vMerge w:val="restart"/>
            <w:tcBorders>
              <w:top w:val="single" w:sz="8" w:space="0" w:color="auto"/>
              <w:left w:val="single" w:sz="8" w:space="0" w:color="auto"/>
              <w:right w:val="nil"/>
            </w:tcBorders>
            <w:shd w:val="clear" w:color="auto" w:fill="auto"/>
            <w:vAlign w:val="center"/>
            <w:hideMark/>
          </w:tcPr>
          <w:p w:rsidR="00724379" w:rsidRPr="00887A33" w:rsidRDefault="00724379" w:rsidP="00464A95">
            <w:pPr>
              <w:spacing w:after="0" w:line="240" w:lineRule="auto"/>
              <w:jc w:val="center"/>
              <w:rPr>
                <w:rFonts w:ascii="Sylfaen" w:hAnsi="Sylfaen" w:cs="Calibri"/>
                <w:sz w:val="20"/>
                <w:szCs w:val="20"/>
                <w:lang w:val="ka-GE"/>
              </w:rPr>
            </w:pPr>
          </w:p>
          <w:p w:rsidR="00724379" w:rsidRPr="00887A33" w:rsidRDefault="00724379" w:rsidP="00464A95">
            <w:pPr>
              <w:spacing w:after="0" w:line="240" w:lineRule="auto"/>
              <w:jc w:val="center"/>
              <w:rPr>
                <w:rFonts w:ascii="Sylfaen" w:hAnsi="Sylfaen" w:cs="Calibri"/>
                <w:sz w:val="20"/>
                <w:szCs w:val="20"/>
                <w:lang w:val="ka-GE"/>
              </w:rPr>
            </w:pPr>
          </w:p>
          <w:p w:rsidR="00724379" w:rsidRPr="00887A33" w:rsidRDefault="00724379" w:rsidP="00464A95">
            <w:pPr>
              <w:spacing w:after="0" w:line="240" w:lineRule="auto"/>
              <w:jc w:val="center"/>
              <w:rPr>
                <w:rFonts w:ascii="Sylfaen" w:hAnsi="Sylfaen" w:cs="Calibri"/>
                <w:sz w:val="20"/>
                <w:szCs w:val="20"/>
              </w:rPr>
            </w:pPr>
            <w:r w:rsidRPr="00887A33">
              <w:rPr>
                <w:rFonts w:ascii="Sylfaen" w:hAnsi="Sylfaen" w:cs="Calibri"/>
                <w:sz w:val="20"/>
                <w:szCs w:val="20"/>
                <w:lang w:val="ka-GE"/>
              </w:rPr>
              <w:t>კიბოს ლოკალიზაცია</w:t>
            </w:r>
          </w:p>
        </w:tc>
        <w:tc>
          <w:tcPr>
            <w:tcW w:w="4232" w:type="dxa"/>
            <w:gridSpan w:val="2"/>
            <w:tcBorders>
              <w:top w:val="single" w:sz="8" w:space="0" w:color="auto"/>
              <w:left w:val="single" w:sz="4" w:space="0" w:color="auto"/>
              <w:bottom w:val="single" w:sz="4" w:space="0" w:color="auto"/>
              <w:right w:val="single" w:sz="8" w:space="0" w:color="auto"/>
            </w:tcBorders>
            <w:shd w:val="clear" w:color="auto" w:fill="auto"/>
            <w:noWrap/>
            <w:vAlign w:val="center"/>
            <w:hideMark/>
          </w:tcPr>
          <w:p w:rsidR="00724379" w:rsidRPr="00887A33" w:rsidRDefault="00724379" w:rsidP="00464A95">
            <w:pPr>
              <w:spacing w:after="0" w:line="240" w:lineRule="auto"/>
              <w:jc w:val="center"/>
              <w:rPr>
                <w:rFonts w:cs="Calibri"/>
                <w:sz w:val="20"/>
                <w:szCs w:val="20"/>
              </w:rPr>
            </w:pPr>
            <w:r w:rsidRPr="00887A33">
              <w:rPr>
                <w:rFonts w:ascii="Sylfaen" w:hAnsi="Sylfaen" w:cs="Sylfaen"/>
                <w:sz w:val="20"/>
                <w:szCs w:val="20"/>
                <w:lang w:val="ka-GE"/>
              </w:rPr>
              <w:t xml:space="preserve">მიზნობრივი პოპულაციის             </w:t>
            </w:r>
            <w:proofErr w:type="spellStart"/>
            <w:r w:rsidRPr="00887A33">
              <w:rPr>
                <w:rFonts w:ascii="Sylfaen" w:hAnsi="Sylfaen" w:cs="Sylfaen"/>
                <w:sz w:val="20"/>
                <w:szCs w:val="20"/>
              </w:rPr>
              <w:t>მოცვის</w:t>
            </w:r>
            <w:proofErr w:type="spellEnd"/>
            <w:r w:rsidRPr="00887A33">
              <w:rPr>
                <w:rFonts w:cs="Calibri"/>
                <w:sz w:val="20"/>
                <w:szCs w:val="20"/>
              </w:rPr>
              <w:t xml:space="preserve"> </w:t>
            </w:r>
            <w:proofErr w:type="spellStart"/>
            <w:r w:rsidRPr="00887A33">
              <w:rPr>
                <w:rFonts w:ascii="Sylfaen" w:hAnsi="Sylfaen" w:cs="Sylfaen"/>
                <w:sz w:val="20"/>
                <w:szCs w:val="20"/>
              </w:rPr>
              <w:t>მაჩვენებელი</w:t>
            </w:r>
            <w:proofErr w:type="spellEnd"/>
            <w:r w:rsidRPr="00887A33">
              <w:rPr>
                <w:rFonts w:cs="Calibri"/>
                <w:sz w:val="20"/>
                <w:szCs w:val="20"/>
              </w:rPr>
              <w:t xml:space="preserve"> (%)</w:t>
            </w:r>
          </w:p>
        </w:tc>
      </w:tr>
      <w:tr w:rsidR="00724379" w:rsidRPr="00887A33" w:rsidTr="00464A95">
        <w:trPr>
          <w:trHeight w:val="555"/>
          <w:jc w:val="center"/>
        </w:trPr>
        <w:tc>
          <w:tcPr>
            <w:tcW w:w="2890" w:type="dxa"/>
            <w:vMerge/>
            <w:tcBorders>
              <w:left w:val="single" w:sz="8" w:space="0" w:color="auto"/>
              <w:bottom w:val="single" w:sz="8" w:space="0" w:color="000000"/>
              <w:right w:val="nil"/>
            </w:tcBorders>
            <w:shd w:val="clear" w:color="auto" w:fill="auto"/>
            <w:vAlign w:val="center"/>
          </w:tcPr>
          <w:p w:rsidR="00724379" w:rsidRPr="00887A33" w:rsidRDefault="00724379" w:rsidP="00464A95">
            <w:pPr>
              <w:spacing w:after="0" w:line="240" w:lineRule="auto"/>
              <w:jc w:val="center"/>
              <w:rPr>
                <w:rFonts w:ascii="Sylfaen" w:hAnsi="Sylfaen" w:cs="Calibri"/>
                <w:sz w:val="20"/>
                <w:szCs w:val="20"/>
                <w:lang w:val="ka-GE"/>
              </w:rPr>
            </w:pPr>
          </w:p>
        </w:tc>
        <w:tc>
          <w:tcPr>
            <w:tcW w:w="2105" w:type="dxa"/>
            <w:tcBorders>
              <w:top w:val="single" w:sz="8" w:space="0" w:color="auto"/>
              <w:left w:val="single" w:sz="4" w:space="0" w:color="auto"/>
              <w:bottom w:val="single" w:sz="4" w:space="0" w:color="auto"/>
              <w:right w:val="single" w:sz="8" w:space="0" w:color="auto"/>
            </w:tcBorders>
            <w:shd w:val="clear" w:color="auto" w:fill="auto"/>
            <w:noWrap/>
            <w:vAlign w:val="center"/>
          </w:tcPr>
          <w:p w:rsidR="00724379" w:rsidRPr="00887A33" w:rsidRDefault="00724379" w:rsidP="00464A95">
            <w:pPr>
              <w:spacing w:after="0" w:line="240" w:lineRule="auto"/>
              <w:jc w:val="center"/>
              <w:rPr>
                <w:rFonts w:ascii="Sylfaen" w:hAnsi="Sylfaen" w:cs="Sylfaen"/>
                <w:sz w:val="20"/>
                <w:szCs w:val="20"/>
                <w:lang w:val="ka-GE"/>
              </w:rPr>
            </w:pPr>
            <w:r w:rsidRPr="00887A33">
              <w:rPr>
                <w:rFonts w:ascii="Sylfaen" w:hAnsi="Sylfaen" w:cs="Sylfaen"/>
                <w:sz w:val="20"/>
                <w:szCs w:val="20"/>
                <w:lang w:val="ka-GE"/>
              </w:rPr>
              <w:t>თბილისი</w:t>
            </w:r>
          </w:p>
        </w:tc>
        <w:tc>
          <w:tcPr>
            <w:tcW w:w="2127" w:type="dxa"/>
            <w:tcBorders>
              <w:top w:val="single" w:sz="8" w:space="0" w:color="auto"/>
              <w:left w:val="single" w:sz="4" w:space="0" w:color="auto"/>
              <w:bottom w:val="single" w:sz="4" w:space="0" w:color="auto"/>
              <w:right w:val="single" w:sz="8" w:space="0" w:color="auto"/>
            </w:tcBorders>
            <w:shd w:val="clear" w:color="auto" w:fill="auto"/>
            <w:vAlign w:val="center"/>
          </w:tcPr>
          <w:p w:rsidR="00724379" w:rsidRPr="00887A33" w:rsidRDefault="00724379" w:rsidP="00464A95">
            <w:pPr>
              <w:spacing w:after="0" w:line="240" w:lineRule="auto"/>
              <w:jc w:val="center"/>
              <w:rPr>
                <w:rFonts w:ascii="Sylfaen" w:hAnsi="Sylfaen" w:cs="Sylfaen"/>
                <w:sz w:val="20"/>
                <w:szCs w:val="20"/>
                <w:lang w:val="ka-GE"/>
              </w:rPr>
            </w:pPr>
            <w:r w:rsidRPr="00887A33">
              <w:rPr>
                <w:rFonts w:ascii="Sylfaen" w:hAnsi="Sylfaen" w:cs="Sylfaen"/>
                <w:sz w:val="20"/>
                <w:szCs w:val="20"/>
                <w:lang w:val="ka-GE"/>
              </w:rPr>
              <w:t>დანარჩენი რეგიონები</w:t>
            </w:r>
          </w:p>
        </w:tc>
      </w:tr>
      <w:tr w:rsidR="00724379" w:rsidRPr="00887A33" w:rsidTr="00464A95">
        <w:trPr>
          <w:trHeight w:val="407"/>
          <w:jc w:val="center"/>
        </w:trPr>
        <w:tc>
          <w:tcPr>
            <w:tcW w:w="2890" w:type="dxa"/>
            <w:tcBorders>
              <w:top w:val="nil"/>
              <w:left w:val="single" w:sz="8" w:space="0" w:color="auto"/>
              <w:bottom w:val="single" w:sz="8" w:space="0" w:color="000000"/>
              <w:right w:val="nil"/>
            </w:tcBorders>
            <w:shd w:val="clear" w:color="auto" w:fill="auto"/>
            <w:vAlign w:val="center"/>
            <w:hideMark/>
          </w:tcPr>
          <w:p w:rsidR="00724379" w:rsidRPr="00887A33" w:rsidRDefault="00724379" w:rsidP="00464A95">
            <w:pPr>
              <w:spacing w:after="0" w:line="240" w:lineRule="auto"/>
              <w:rPr>
                <w:rFonts w:ascii="Sylfaen" w:hAnsi="Sylfaen" w:cs="Calibri"/>
                <w:sz w:val="20"/>
                <w:szCs w:val="20"/>
              </w:rPr>
            </w:pPr>
            <w:r w:rsidRPr="00887A33">
              <w:rPr>
                <w:rFonts w:ascii="Sylfaen" w:hAnsi="Sylfaen" w:cs="Calibri"/>
                <w:sz w:val="20"/>
                <w:szCs w:val="20"/>
                <w:lang w:val="ka-GE"/>
              </w:rPr>
              <w:t>ძუძუ</w:t>
            </w:r>
          </w:p>
        </w:tc>
        <w:tc>
          <w:tcPr>
            <w:tcW w:w="2105" w:type="dxa"/>
            <w:tcBorders>
              <w:top w:val="nil"/>
              <w:left w:val="single" w:sz="4" w:space="0" w:color="auto"/>
              <w:bottom w:val="single" w:sz="4" w:space="0" w:color="auto"/>
              <w:right w:val="single" w:sz="4" w:space="0" w:color="auto"/>
            </w:tcBorders>
            <w:shd w:val="clear" w:color="auto" w:fill="auto"/>
            <w:noWrap/>
            <w:vAlign w:val="center"/>
          </w:tcPr>
          <w:p w:rsidR="00724379" w:rsidRPr="00887A33" w:rsidRDefault="00724379" w:rsidP="00464A95">
            <w:pPr>
              <w:spacing w:after="0" w:line="240" w:lineRule="auto"/>
              <w:jc w:val="center"/>
              <w:rPr>
                <w:rFonts w:ascii="Sylfaen" w:hAnsi="Sylfaen" w:cs="Calibri"/>
                <w:bCs/>
                <w:sz w:val="20"/>
                <w:szCs w:val="20"/>
                <w:lang w:val="ka-GE"/>
              </w:rPr>
            </w:pPr>
            <w:r w:rsidRPr="00887A33">
              <w:rPr>
                <w:rFonts w:ascii="Sylfaen" w:hAnsi="Sylfaen" w:cs="Calibri"/>
                <w:bCs/>
                <w:sz w:val="20"/>
                <w:szCs w:val="20"/>
                <w:lang w:val="ka-GE"/>
              </w:rPr>
              <w:t>15</w:t>
            </w:r>
          </w:p>
        </w:tc>
        <w:tc>
          <w:tcPr>
            <w:tcW w:w="2127" w:type="dxa"/>
            <w:tcBorders>
              <w:top w:val="nil"/>
              <w:left w:val="nil"/>
              <w:bottom w:val="single" w:sz="4" w:space="0" w:color="auto"/>
              <w:right w:val="single" w:sz="8" w:space="0" w:color="auto"/>
            </w:tcBorders>
            <w:shd w:val="clear" w:color="auto" w:fill="auto"/>
            <w:noWrap/>
            <w:vAlign w:val="center"/>
            <w:hideMark/>
          </w:tcPr>
          <w:p w:rsidR="00724379" w:rsidRPr="00887A33" w:rsidRDefault="00724379" w:rsidP="00464A95">
            <w:pPr>
              <w:spacing w:after="0" w:line="240" w:lineRule="auto"/>
              <w:jc w:val="center"/>
              <w:rPr>
                <w:rFonts w:ascii="Sylfaen" w:hAnsi="Sylfaen" w:cs="Calibri"/>
                <w:bCs/>
                <w:sz w:val="20"/>
                <w:szCs w:val="20"/>
                <w:lang w:val="ka-GE"/>
              </w:rPr>
            </w:pPr>
            <w:r w:rsidRPr="00887A33">
              <w:rPr>
                <w:rFonts w:ascii="Sylfaen" w:hAnsi="Sylfaen" w:cs="Calibri"/>
                <w:bCs/>
                <w:sz w:val="20"/>
                <w:szCs w:val="20"/>
                <w:lang w:val="ka-GE"/>
              </w:rPr>
              <w:t>8.9</w:t>
            </w:r>
          </w:p>
        </w:tc>
      </w:tr>
      <w:tr w:rsidR="00724379" w:rsidRPr="00887A33" w:rsidTr="00464A95">
        <w:trPr>
          <w:trHeight w:val="443"/>
          <w:jc w:val="center"/>
        </w:trPr>
        <w:tc>
          <w:tcPr>
            <w:tcW w:w="2890" w:type="dxa"/>
            <w:tcBorders>
              <w:top w:val="nil"/>
              <w:left w:val="single" w:sz="8" w:space="0" w:color="auto"/>
              <w:bottom w:val="single" w:sz="8" w:space="0" w:color="000000"/>
              <w:right w:val="nil"/>
            </w:tcBorders>
            <w:shd w:val="clear" w:color="auto" w:fill="auto"/>
            <w:vAlign w:val="center"/>
            <w:hideMark/>
          </w:tcPr>
          <w:p w:rsidR="00724379" w:rsidRPr="00887A33" w:rsidRDefault="00724379" w:rsidP="00464A95">
            <w:pPr>
              <w:spacing w:after="0" w:line="240" w:lineRule="auto"/>
              <w:rPr>
                <w:rFonts w:ascii="Sylfaen" w:hAnsi="Sylfaen" w:cs="Calibri"/>
                <w:sz w:val="20"/>
                <w:szCs w:val="20"/>
              </w:rPr>
            </w:pPr>
            <w:r w:rsidRPr="00887A33">
              <w:rPr>
                <w:rFonts w:ascii="Sylfaen" w:hAnsi="Sylfaen" w:cs="Calibri"/>
                <w:sz w:val="20"/>
                <w:szCs w:val="20"/>
                <w:lang w:val="ka-GE"/>
              </w:rPr>
              <w:t>საშვილოსნოს ყელი</w:t>
            </w:r>
          </w:p>
        </w:tc>
        <w:tc>
          <w:tcPr>
            <w:tcW w:w="2105" w:type="dxa"/>
            <w:tcBorders>
              <w:top w:val="nil"/>
              <w:left w:val="single" w:sz="4" w:space="0" w:color="auto"/>
              <w:bottom w:val="single" w:sz="4" w:space="0" w:color="auto"/>
              <w:right w:val="single" w:sz="4" w:space="0" w:color="auto"/>
            </w:tcBorders>
            <w:shd w:val="clear" w:color="auto" w:fill="auto"/>
            <w:noWrap/>
            <w:vAlign w:val="center"/>
          </w:tcPr>
          <w:p w:rsidR="00724379" w:rsidRPr="00887A33" w:rsidRDefault="00724379" w:rsidP="00464A95">
            <w:pPr>
              <w:spacing w:after="0" w:line="240" w:lineRule="auto"/>
              <w:jc w:val="center"/>
              <w:rPr>
                <w:rFonts w:ascii="Sylfaen" w:hAnsi="Sylfaen" w:cs="Calibri"/>
                <w:bCs/>
                <w:sz w:val="20"/>
                <w:szCs w:val="20"/>
              </w:rPr>
            </w:pPr>
            <w:r w:rsidRPr="00887A33">
              <w:rPr>
                <w:rFonts w:ascii="Sylfaen" w:hAnsi="Sylfaen" w:cs="Calibri"/>
                <w:bCs/>
                <w:sz w:val="20"/>
                <w:szCs w:val="20"/>
                <w:lang w:val="ka-GE"/>
              </w:rPr>
              <w:t>14</w:t>
            </w:r>
          </w:p>
        </w:tc>
        <w:tc>
          <w:tcPr>
            <w:tcW w:w="2127" w:type="dxa"/>
            <w:tcBorders>
              <w:top w:val="nil"/>
              <w:left w:val="nil"/>
              <w:bottom w:val="single" w:sz="4" w:space="0" w:color="auto"/>
              <w:right w:val="single" w:sz="8" w:space="0" w:color="auto"/>
            </w:tcBorders>
            <w:shd w:val="clear" w:color="auto" w:fill="auto"/>
            <w:noWrap/>
            <w:vAlign w:val="center"/>
            <w:hideMark/>
          </w:tcPr>
          <w:p w:rsidR="00724379" w:rsidRPr="00887A33" w:rsidRDefault="00724379" w:rsidP="00464A95">
            <w:pPr>
              <w:spacing w:after="0" w:line="240" w:lineRule="auto"/>
              <w:jc w:val="center"/>
              <w:rPr>
                <w:rFonts w:ascii="Sylfaen" w:hAnsi="Sylfaen" w:cs="Calibri"/>
                <w:bCs/>
                <w:sz w:val="20"/>
                <w:szCs w:val="20"/>
                <w:lang w:val="ka-GE"/>
              </w:rPr>
            </w:pPr>
            <w:r w:rsidRPr="00887A33">
              <w:rPr>
                <w:rFonts w:ascii="Sylfaen" w:hAnsi="Sylfaen" w:cs="Calibri"/>
                <w:bCs/>
                <w:sz w:val="20"/>
                <w:szCs w:val="20"/>
                <w:lang w:val="ka-GE"/>
              </w:rPr>
              <w:t>9.7</w:t>
            </w:r>
          </w:p>
        </w:tc>
      </w:tr>
      <w:tr w:rsidR="00724379" w:rsidRPr="00887A33" w:rsidTr="00464A95">
        <w:trPr>
          <w:trHeight w:val="425"/>
          <w:jc w:val="center"/>
        </w:trPr>
        <w:tc>
          <w:tcPr>
            <w:tcW w:w="2890" w:type="dxa"/>
            <w:tcBorders>
              <w:top w:val="nil"/>
              <w:left w:val="single" w:sz="8" w:space="0" w:color="auto"/>
              <w:bottom w:val="single" w:sz="8" w:space="0" w:color="000000"/>
              <w:right w:val="nil"/>
            </w:tcBorders>
            <w:shd w:val="clear" w:color="auto" w:fill="auto"/>
            <w:vAlign w:val="center"/>
            <w:hideMark/>
          </w:tcPr>
          <w:p w:rsidR="00724379" w:rsidRPr="00887A33" w:rsidRDefault="00724379" w:rsidP="00464A95">
            <w:pPr>
              <w:spacing w:after="0" w:line="240" w:lineRule="auto"/>
              <w:rPr>
                <w:rFonts w:ascii="Sylfaen" w:hAnsi="Sylfaen" w:cs="Calibri"/>
                <w:sz w:val="20"/>
                <w:szCs w:val="20"/>
              </w:rPr>
            </w:pPr>
            <w:r w:rsidRPr="00887A33">
              <w:rPr>
                <w:rFonts w:ascii="Sylfaen" w:hAnsi="Sylfaen" w:cs="Calibri"/>
                <w:sz w:val="20"/>
                <w:szCs w:val="20"/>
                <w:lang w:val="ka-GE"/>
              </w:rPr>
              <w:t>პროსტატის კიბოს მართვა</w:t>
            </w:r>
          </w:p>
        </w:tc>
        <w:tc>
          <w:tcPr>
            <w:tcW w:w="2105" w:type="dxa"/>
            <w:tcBorders>
              <w:top w:val="nil"/>
              <w:left w:val="single" w:sz="4" w:space="0" w:color="auto"/>
              <w:bottom w:val="single" w:sz="4" w:space="0" w:color="auto"/>
              <w:right w:val="single" w:sz="4" w:space="0" w:color="auto"/>
            </w:tcBorders>
            <w:shd w:val="clear" w:color="auto" w:fill="auto"/>
            <w:noWrap/>
            <w:vAlign w:val="center"/>
          </w:tcPr>
          <w:p w:rsidR="00724379" w:rsidRPr="00887A33" w:rsidRDefault="00724379" w:rsidP="00464A95">
            <w:pPr>
              <w:spacing w:after="0" w:line="240" w:lineRule="auto"/>
              <w:jc w:val="center"/>
              <w:rPr>
                <w:rFonts w:ascii="Sylfaen" w:hAnsi="Sylfaen" w:cs="Calibri"/>
                <w:bCs/>
                <w:sz w:val="20"/>
                <w:szCs w:val="20"/>
                <w:lang w:val="ka-GE"/>
              </w:rPr>
            </w:pPr>
            <w:r w:rsidRPr="00887A33">
              <w:rPr>
                <w:rFonts w:ascii="Sylfaen" w:hAnsi="Sylfaen" w:cs="Calibri"/>
                <w:bCs/>
                <w:sz w:val="20"/>
                <w:szCs w:val="20"/>
                <w:lang w:val="ka-GE"/>
              </w:rPr>
              <w:t>5</w:t>
            </w:r>
          </w:p>
        </w:tc>
        <w:tc>
          <w:tcPr>
            <w:tcW w:w="2127" w:type="dxa"/>
            <w:tcBorders>
              <w:top w:val="nil"/>
              <w:left w:val="nil"/>
              <w:bottom w:val="single" w:sz="4" w:space="0" w:color="auto"/>
              <w:right w:val="single" w:sz="8" w:space="0" w:color="auto"/>
            </w:tcBorders>
            <w:shd w:val="clear" w:color="auto" w:fill="auto"/>
            <w:noWrap/>
            <w:vAlign w:val="center"/>
            <w:hideMark/>
          </w:tcPr>
          <w:p w:rsidR="00724379" w:rsidRPr="00887A33" w:rsidRDefault="00724379" w:rsidP="00464A95">
            <w:pPr>
              <w:spacing w:after="0" w:line="240" w:lineRule="auto"/>
              <w:jc w:val="center"/>
              <w:rPr>
                <w:rFonts w:ascii="Sylfaen" w:hAnsi="Sylfaen" w:cs="Calibri"/>
                <w:bCs/>
                <w:sz w:val="20"/>
                <w:szCs w:val="20"/>
                <w:lang w:val="ka-GE"/>
              </w:rPr>
            </w:pPr>
            <w:r w:rsidRPr="00887A33">
              <w:rPr>
                <w:rFonts w:ascii="Sylfaen" w:hAnsi="Sylfaen" w:cs="Calibri"/>
                <w:bCs/>
                <w:sz w:val="20"/>
                <w:szCs w:val="20"/>
                <w:lang w:val="ka-GE"/>
              </w:rPr>
              <w:t>2.7</w:t>
            </w:r>
          </w:p>
        </w:tc>
      </w:tr>
      <w:tr w:rsidR="00724379" w:rsidRPr="00887A33" w:rsidTr="00887A33">
        <w:trPr>
          <w:trHeight w:val="70"/>
          <w:jc w:val="center"/>
        </w:trPr>
        <w:tc>
          <w:tcPr>
            <w:tcW w:w="2890" w:type="dxa"/>
            <w:tcBorders>
              <w:top w:val="nil"/>
              <w:left w:val="single" w:sz="8" w:space="0" w:color="auto"/>
              <w:bottom w:val="single" w:sz="8" w:space="0" w:color="auto"/>
              <w:right w:val="nil"/>
            </w:tcBorders>
            <w:shd w:val="clear" w:color="auto" w:fill="auto"/>
            <w:vAlign w:val="center"/>
            <w:hideMark/>
          </w:tcPr>
          <w:p w:rsidR="00724379" w:rsidRPr="00887A33" w:rsidRDefault="00724379" w:rsidP="00464A95">
            <w:pPr>
              <w:spacing w:after="0" w:line="240" w:lineRule="auto"/>
              <w:rPr>
                <w:rFonts w:ascii="Sylfaen" w:hAnsi="Sylfaen" w:cs="Calibri"/>
                <w:sz w:val="20"/>
                <w:szCs w:val="20"/>
              </w:rPr>
            </w:pPr>
            <w:r w:rsidRPr="00887A33">
              <w:rPr>
                <w:rFonts w:ascii="Sylfaen" w:hAnsi="Sylfaen" w:cs="Calibri"/>
                <w:sz w:val="20"/>
                <w:szCs w:val="20"/>
                <w:lang w:val="ka-GE"/>
              </w:rPr>
              <w:t>კოლორექტალური</w:t>
            </w:r>
          </w:p>
        </w:tc>
        <w:tc>
          <w:tcPr>
            <w:tcW w:w="2105" w:type="dxa"/>
            <w:tcBorders>
              <w:top w:val="nil"/>
              <w:left w:val="single" w:sz="4" w:space="0" w:color="auto"/>
              <w:bottom w:val="single" w:sz="8" w:space="0" w:color="auto"/>
              <w:right w:val="single" w:sz="4" w:space="0" w:color="auto"/>
            </w:tcBorders>
            <w:shd w:val="clear" w:color="auto" w:fill="auto"/>
            <w:noWrap/>
            <w:vAlign w:val="center"/>
          </w:tcPr>
          <w:p w:rsidR="00724379" w:rsidRPr="00887A33" w:rsidRDefault="00724379" w:rsidP="00464A95">
            <w:pPr>
              <w:spacing w:after="0" w:line="240" w:lineRule="auto"/>
              <w:jc w:val="center"/>
              <w:rPr>
                <w:rFonts w:ascii="Sylfaen" w:hAnsi="Sylfaen" w:cs="Calibri"/>
                <w:bCs/>
                <w:sz w:val="20"/>
                <w:szCs w:val="20"/>
                <w:lang w:val="ka-GE"/>
              </w:rPr>
            </w:pPr>
            <w:r w:rsidRPr="00887A33">
              <w:rPr>
                <w:rFonts w:ascii="Sylfaen" w:hAnsi="Sylfaen" w:cs="Calibri"/>
                <w:bCs/>
                <w:sz w:val="20"/>
                <w:szCs w:val="20"/>
                <w:lang w:val="ka-GE"/>
              </w:rPr>
              <w:t>3</w:t>
            </w:r>
          </w:p>
        </w:tc>
        <w:tc>
          <w:tcPr>
            <w:tcW w:w="2127" w:type="dxa"/>
            <w:tcBorders>
              <w:top w:val="nil"/>
              <w:left w:val="nil"/>
              <w:bottom w:val="single" w:sz="8" w:space="0" w:color="auto"/>
              <w:right w:val="single" w:sz="8" w:space="0" w:color="auto"/>
            </w:tcBorders>
            <w:shd w:val="clear" w:color="auto" w:fill="auto"/>
            <w:noWrap/>
            <w:vAlign w:val="center"/>
            <w:hideMark/>
          </w:tcPr>
          <w:p w:rsidR="00724379" w:rsidRPr="00887A33" w:rsidRDefault="00724379" w:rsidP="00464A95">
            <w:pPr>
              <w:spacing w:after="0" w:line="240" w:lineRule="auto"/>
              <w:jc w:val="center"/>
              <w:rPr>
                <w:rFonts w:ascii="Sylfaen" w:hAnsi="Sylfaen" w:cs="Calibri"/>
                <w:bCs/>
                <w:sz w:val="20"/>
                <w:szCs w:val="20"/>
                <w:lang w:val="ka-GE"/>
              </w:rPr>
            </w:pPr>
            <w:r w:rsidRPr="00887A33">
              <w:rPr>
                <w:rFonts w:ascii="Sylfaen" w:hAnsi="Sylfaen" w:cs="Calibri"/>
                <w:bCs/>
                <w:sz w:val="20"/>
                <w:szCs w:val="20"/>
                <w:lang w:val="ka-GE"/>
              </w:rPr>
              <w:t>2</w:t>
            </w:r>
          </w:p>
        </w:tc>
      </w:tr>
    </w:tbl>
    <w:p w:rsidR="00887A33" w:rsidRDefault="00887A33" w:rsidP="00724379">
      <w:pPr>
        <w:rPr>
          <w:rFonts w:ascii="Sylfaen" w:hAnsi="Sylfaen"/>
          <w:lang w:val="ka-GE"/>
        </w:rPr>
      </w:pPr>
    </w:p>
    <w:p w:rsidR="006656CE" w:rsidRPr="00887A33" w:rsidRDefault="00887A33">
      <w:pPr>
        <w:rPr>
          <w:i/>
        </w:rPr>
      </w:pPr>
      <w:r w:rsidRPr="00887A33">
        <w:rPr>
          <w:rFonts w:ascii="Sylfaen" w:hAnsi="Sylfaen"/>
          <w:i/>
          <w:lang w:val="ka-GE"/>
        </w:rPr>
        <w:t>შენიშვნა: შეკითხვების შემთხვევაში შეგიძლიათ დაუკავშირდეთ დოკუმენტის ავტორს, ნანა მებონიას</w:t>
      </w:r>
    </w:p>
    <w:sectPr w:rsidR="006656CE" w:rsidRPr="00887A33" w:rsidSect="00724379">
      <w:pgSz w:w="12240" w:h="15840"/>
      <w:pgMar w:top="1170" w:right="1170" w:bottom="1080" w:left="126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3A85" w:rsidRDefault="00EE3A85" w:rsidP="00724379">
      <w:pPr>
        <w:spacing w:after="0" w:line="240" w:lineRule="auto"/>
      </w:pPr>
      <w:r>
        <w:separator/>
      </w:r>
    </w:p>
  </w:endnote>
  <w:endnote w:type="continuationSeparator" w:id="0">
    <w:p w:rsidR="00EE3A85" w:rsidRDefault="00EE3A85" w:rsidP="007243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Kepler Std">
    <w:altName w:val="Cambria"/>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3A85" w:rsidRDefault="00EE3A85" w:rsidP="00724379">
      <w:pPr>
        <w:spacing w:after="0" w:line="240" w:lineRule="auto"/>
      </w:pPr>
      <w:r>
        <w:separator/>
      </w:r>
    </w:p>
  </w:footnote>
  <w:footnote w:type="continuationSeparator" w:id="0">
    <w:p w:rsidR="00EE3A85" w:rsidRDefault="00EE3A85" w:rsidP="00724379">
      <w:pPr>
        <w:spacing w:after="0" w:line="240" w:lineRule="auto"/>
      </w:pPr>
      <w:r>
        <w:continuationSeparator/>
      </w:r>
    </w:p>
  </w:footnote>
  <w:footnote w:id="1">
    <w:p w:rsidR="00724379" w:rsidRPr="00325904" w:rsidRDefault="00724379" w:rsidP="00724379">
      <w:pPr>
        <w:rPr>
          <w:lang w:val="ka-GE"/>
        </w:rPr>
      </w:pPr>
      <w:r>
        <w:rPr>
          <w:rStyle w:val="FootnoteReference"/>
        </w:rPr>
        <w:footnoteRef/>
      </w:r>
      <w:r>
        <w:t xml:space="preserve"> Cancer, by Max </w:t>
      </w:r>
      <w:proofErr w:type="spellStart"/>
      <w:r>
        <w:t>Roser</w:t>
      </w:r>
      <w:proofErr w:type="spellEnd"/>
      <w:r>
        <w:t xml:space="preserve"> and Hannah Ritchie. </w:t>
      </w:r>
      <w:hyperlink r:id="rId1" w:history="1">
        <w:r w:rsidRPr="00325904">
          <w:rPr>
            <w:rStyle w:val="Hyperlink"/>
            <w:lang w:val="ka-GE"/>
          </w:rPr>
          <w:t>https://ourworldindata.org/cancer</w:t>
        </w:r>
      </w:hyperlink>
    </w:p>
    <w:p w:rsidR="00724379" w:rsidRDefault="00724379" w:rsidP="00724379">
      <w:pPr>
        <w:pStyle w:val="FootnoteText"/>
      </w:pPr>
    </w:p>
  </w:footnote>
  <w:footnote w:id="2">
    <w:p w:rsidR="00724379" w:rsidRPr="00514E4E" w:rsidRDefault="00724379" w:rsidP="00724379">
      <w:pPr>
        <w:pStyle w:val="FootnoteText"/>
        <w:rPr>
          <w:rFonts w:ascii="Sylfaen" w:hAnsi="Sylfaen"/>
          <w:lang w:val="ka-GE"/>
        </w:rPr>
      </w:pPr>
      <w:r>
        <w:rPr>
          <w:rStyle w:val="FootnoteReference"/>
        </w:rPr>
        <w:footnoteRef/>
      </w:r>
      <w:r>
        <w:t xml:space="preserve"> </w:t>
      </w:r>
      <w:r>
        <w:rPr>
          <w:rFonts w:ascii="Sylfaen" w:hAnsi="Sylfaen"/>
          <w:lang w:val="ka-GE"/>
        </w:rPr>
        <w:t xml:space="preserve">ამ </w:t>
      </w:r>
      <w:r>
        <w:rPr>
          <w:rFonts w:ascii="Sylfaen" w:hAnsi="Sylfaen"/>
          <w:lang w:val="ka-GE"/>
        </w:rPr>
        <w:t>და სხვა დიაგრამებში გამოთვლილია ასაკ-სტანდარტიზებული პროცენტი, რათა  ქვეყნებისა და წლების მიხედვით შედარება ადვილად მოხდეს</w:t>
      </w:r>
    </w:p>
  </w:footnote>
  <w:footnote w:id="3">
    <w:p w:rsidR="00724379" w:rsidRPr="00634E09" w:rsidRDefault="00724379" w:rsidP="00724379">
      <w:pPr>
        <w:pStyle w:val="FootnoteText"/>
        <w:rPr>
          <w:rFonts w:ascii="Sylfaen" w:hAnsi="Sylfaen"/>
          <w:lang w:val="ka-GE"/>
        </w:rPr>
      </w:pPr>
      <w:r>
        <w:rPr>
          <w:rStyle w:val="FootnoteReference"/>
        </w:rPr>
        <w:footnoteRef/>
      </w:r>
      <w:r>
        <w:t xml:space="preserve"> Estimated deaths (‘000) by cause, sex, and WHO Member State, Department of information, evidence and Research, WHO, 2016</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76B4"/>
    <w:rsid w:val="004B76B4"/>
    <w:rsid w:val="006656CE"/>
    <w:rsid w:val="00705686"/>
    <w:rsid w:val="00724379"/>
    <w:rsid w:val="00757C77"/>
    <w:rsid w:val="00887A33"/>
    <w:rsid w:val="00A67858"/>
    <w:rsid w:val="00EE3A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76F5F5C-A03E-44C1-8B88-40316AF8BA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43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72437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24379"/>
    <w:rPr>
      <w:sz w:val="20"/>
      <w:szCs w:val="20"/>
    </w:rPr>
  </w:style>
  <w:style w:type="character" w:styleId="FootnoteReference">
    <w:name w:val="footnote reference"/>
    <w:basedOn w:val="DefaultParagraphFont"/>
    <w:uiPriority w:val="99"/>
    <w:semiHidden/>
    <w:unhideWhenUsed/>
    <w:rsid w:val="00724379"/>
    <w:rPr>
      <w:vertAlign w:val="superscript"/>
    </w:rPr>
  </w:style>
  <w:style w:type="character" w:styleId="Hyperlink">
    <w:name w:val="Hyperlink"/>
    <w:basedOn w:val="DefaultParagraphFont"/>
    <w:uiPriority w:val="99"/>
    <w:unhideWhenUsed/>
    <w:rsid w:val="00724379"/>
    <w:rPr>
      <w:color w:val="0563C1" w:themeColor="hyperlink"/>
      <w:u w:val="single"/>
    </w:rPr>
  </w:style>
  <w:style w:type="table" w:styleId="TableGrid">
    <w:name w:val="Table Grid"/>
    <w:basedOn w:val="TableNormal"/>
    <w:uiPriority w:val="59"/>
    <w:rsid w:val="00724379"/>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hart" Target="charts/chart5.xml"/><Relationship Id="rId26" Type="http://schemas.openxmlformats.org/officeDocument/2006/relationships/chart" Target="charts/chart11.xml"/><Relationship Id="rId3" Type="http://schemas.openxmlformats.org/officeDocument/2006/relationships/webSettings" Target="webSettings.xml"/><Relationship Id="rId21" Type="http://schemas.openxmlformats.org/officeDocument/2006/relationships/chart" Target="charts/chart8.xml"/><Relationship Id="rId7" Type="http://schemas.openxmlformats.org/officeDocument/2006/relationships/chart" Target="charts/chart1.xml"/><Relationship Id="rId12" Type="http://schemas.openxmlformats.org/officeDocument/2006/relationships/image" Target="media/image5.png"/><Relationship Id="rId17" Type="http://schemas.openxmlformats.org/officeDocument/2006/relationships/chart" Target="charts/chart4.xml"/><Relationship Id="rId25" Type="http://schemas.openxmlformats.org/officeDocument/2006/relationships/chart" Target="charts/chart10.xml"/><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chart" Target="charts/chart3.xml"/><Relationship Id="rId20" Type="http://schemas.openxmlformats.org/officeDocument/2006/relationships/chart" Target="charts/chart7.xml"/><Relationship Id="rId29" Type="http://schemas.openxmlformats.org/officeDocument/2006/relationships/chart" Target="charts/chart14.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chart" Target="charts/chart9.xml"/><Relationship Id="rId28" Type="http://schemas.openxmlformats.org/officeDocument/2006/relationships/chart" Target="charts/chart13.xml"/><Relationship Id="rId10" Type="http://schemas.openxmlformats.org/officeDocument/2006/relationships/chart" Target="charts/chart2.xml"/><Relationship Id="rId19" Type="http://schemas.openxmlformats.org/officeDocument/2006/relationships/chart" Target="charts/chart6.xml"/><Relationship Id="rId31" Type="http://schemas.openxmlformats.org/officeDocument/2006/relationships/chart" Target="charts/chart16.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9.png"/><Relationship Id="rId27" Type="http://schemas.openxmlformats.org/officeDocument/2006/relationships/chart" Target="charts/chart12.xml"/><Relationship Id="rId30" Type="http://schemas.openxmlformats.org/officeDocument/2006/relationships/chart" Target="charts/chart15.xml"/><Relationship Id="rId8"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s://ourworldindata.org/cancer"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7.xml"/><Relationship Id="rId1" Type="http://schemas.microsoft.com/office/2011/relationships/chartStyle" Target="style7.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8.xml"/><Relationship Id="rId1" Type="http://schemas.microsoft.com/office/2011/relationships/chartStyle" Target="style8.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9.xml"/><Relationship Id="rId1" Type="http://schemas.microsoft.com/office/2011/relationships/chartStyle" Target="style9.xml"/></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0.xml"/><Relationship Id="rId1" Type="http://schemas.microsoft.com/office/2011/relationships/chartStyle" Target="style10.xml"/></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068168562263051E-2"/>
          <c:y val="1.7123869549972016E-2"/>
          <c:w val="0.91606639447846783"/>
          <c:h val="0.56569998517627162"/>
        </c:manualLayout>
      </c:layout>
      <c:barChart>
        <c:barDir val="col"/>
        <c:grouping val="clustered"/>
        <c:varyColors val="0"/>
        <c:ser>
          <c:idx val="0"/>
          <c:order val="0"/>
          <c:tx>
            <c:strRef>
              <c:f>Sheet1!$B$1</c:f>
              <c:strCache>
                <c:ptCount val="1"/>
                <c:pt idx="0">
                  <c:v>ავადობა %</c:v>
                </c:pt>
              </c:strCache>
            </c:strRef>
          </c:tx>
          <c:invertIfNegative val="0"/>
          <c:dLbls>
            <c:dLbl>
              <c:idx val="15"/>
              <c:layout>
                <c:manualLayout>
                  <c:x val="0"/>
                  <c:y val="-1.328903654485049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6"/>
              <c:layout>
                <c:manualLayout>
                  <c:x val="0"/>
                  <c:y val="1.328903654485049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7"/>
              <c:layout>
                <c:manualLayout>
                  <c:x val="0"/>
                  <c:y val="-8.8593576965669985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8"/>
              <c:layout>
                <c:manualLayout>
                  <c:x val="0"/>
                  <c:y val="1.7718715393133917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9"/>
              <c:layout>
                <c:manualLayout>
                  <c:x val="-1.5230007516136065E-16"/>
                  <c:y val="-1.328903654485049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0"/>
              <c:layout>
                <c:manualLayout>
                  <c:x val="-1.5230007516136065E-16"/>
                  <c:y val="1.3289036544850417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b="1">
                    <a:solidFill>
                      <a:srgbClr val="002060"/>
                    </a:solidFill>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Sheet1!$A$2:$A$22</c:f>
              <c:strCache>
                <c:ptCount val="21"/>
                <c:pt idx="0">
                  <c:v>სარძევე ჯირკვალი</c:v>
                </c:pt>
                <c:pt idx="1">
                  <c:v>კოლორექტული</c:v>
                </c:pt>
                <c:pt idx="2">
                  <c:v>პროსტატა</c:v>
                </c:pt>
                <c:pt idx="3">
                  <c:v>ფილტვი</c:v>
                </c:pt>
                <c:pt idx="4">
                  <c:v>კუჭი</c:v>
                </c:pt>
                <c:pt idx="5">
                  <c:v>საშვილოსნოს ტანი</c:v>
                </c:pt>
                <c:pt idx="6">
                  <c:v>შარდის ბუშტი</c:v>
                </c:pt>
                <c:pt idx="7">
                  <c:v>საშვილოსნოს ყელი</c:v>
                </c:pt>
                <c:pt idx="8">
                  <c:v>ტუჩი-პირის ღრუ</c:v>
                </c:pt>
                <c:pt idx="9">
                  <c:v>თირკმელი</c:v>
                </c:pt>
                <c:pt idx="10">
                  <c:v>ფარისებრი</c:v>
                </c:pt>
                <c:pt idx="11">
                  <c:v>ღვიძლი</c:v>
                </c:pt>
                <c:pt idx="12">
                  <c:v>კანის არა-მელანომა</c:v>
                </c:pt>
                <c:pt idx="13">
                  <c:v>საკვერცხე</c:v>
                </c:pt>
                <c:pt idx="14">
                  <c:v>ნერვული</c:v>
                </c:pt>
                <c:pt idx="15">
                  <c:v>ხორხი</c:v>
                </c:pt>
                <c:pt idx="16">
                  <c:v>საყლაპავი</c:v>
                </c:pt>
                <c:pt idx="17">
                  <c:v>პანკრეასი</c:v>
                </c:pt>
                <c:pt idx="18">
                  <c:v>ცხვირ-ხახა</c:v>
                </c:pt>
                <c:pt idx="19">
                  <c:v>სათესლე</c:v>
                </c:pt>
                <c:pt idx="20">
                  <c:v>ნაღვლის ბუშტი</c:v>
                </c:pt>
              </c:strCache>
            </c:strRef>
          </c:cat>
          <c:val>
            <c:numRef>
              <c:f>Sheet1!$B$2:$B$22</c:f>
              <c:numCache>
                <c:formatCode>General</c:formatCode>
                <c:ptCount val="21"/>
                <c:pt idx="0">
                  <c:v>0.12</c:v>
                </c:pt>
                <c:pt idx="1">
                  <c:v>0.1</c:v>
                </c:pt>
                <c:pt idx="2">
                  <c:v>0.09</c:v>
                </c:pt>
                <c:pt idx="3">
                  <c:v>0.04</c:v>
                </c:pt>
                <c:pt idx="4">
                  <c:v>0.03</c:v>
                </c:pt>
                <c:pt idx="5">
                  <c:v>0.03</c:v>
                </c:pt>
                <c:pt idx="6">
                  <c:v>0.03</c:v>
                </c:pt>
                <c:pt idx="7">
                  <c:v>0.03</c:v>
                </c:pt>
                <c:pt idx="8">
                  <c:v>0.02</c:v>
                </c:pt>
                <c:pt idx="9">
                  <c:v>0.02</c:v>
                </c:pt>
                <c:pt idx="10">
                  <c:v>0.02</c:v>
                </c:pt>
                <c:pt idx="11">
                  <c:v>0.02</c:v>
                </c:pt>
                <c:pt idx="12">
                  <c:v>0.01</c:v>
                </c:pt>
                <c:pt idx="13">
                  <c:v>0.01</c:v>
                </c:pt>
                <c:pt idx="14">
                  <c:v>0.01</c:v>
                </c:pt>
                <c:pt idx="15">
                  <c:v>8.9999999999999993E-3</c:v>
                </c:pt>
                <c:pt idx="16">
                  <c:v>8.9999999999999993E-3</c:v>
                </c:pt>
                <c:pt idx="17">
                  <c:v>8.0000000000000002E-3</c:v>
                </c:pt>
                <c:pt idx="18">
                  <c:v>8.0000000000000002E-3</c:v>
                </c:pt>
                <c:pt idx="19">
                  <c:v>8.0000000000000002E-3</c:v>
                </c:pt>
                <c:pt idx="20">
                  <c:v>7.0000000000000001E-3</c:v>
                </c:pt>
              </c:numCache>
            </c:numRef>
          </c:val>
        </c:ser>
        <c:dLbls>
          <c:showLegendKey val="0"/>
          <c:showVal val="0"/>
          <c:showCatName val="0"/>
          <c:showSerName val="0"/>
          <c:showPercent val="0"/>
          <c:showBubbleSize val="0"/>
        </c:dLbls>
        <c:gapWidth val="150"/>
        <c:axId val="-737269568"/>
        <c:axId val="-737265216"/>
      </c:barChart>
      <c:catAx>
        <c:axId val="-737269568"/>
        <c:scaling>
          <c:orientation val="minMax"/>
        </c:scaling>
        <c:delete val="0"/>
        <c:axPos val="b"/>
        <c:numFmt formatCode="General" sourceLinked="0"/>
        <c:majorTickMark val="out"/>
        <c:minorTickMark val="none"/>
        <c:tickLblPos val="nextTo"/>
        <c:txPr>
          <a:bodyPr rot="-5400000" vert="horz"/>
          <a:lstStyle/>
          <a:p>
            <a:pPr>
              <a:defRPr sz="1000">
                <a:solidFill>
                  <a:srgbClr val="002060"/>
                </a:solidFill>
                <a:latin typeface="Sylfaen" panose="010A0502050306030303" pitchFamily="18" charset="0"/>
              </a:defRPr>
            </a:pPr>
            <a:endParaRPr lang="en-US"/>
          </a:p>
        </c:txPr>
        <c:crossAx val="-737265216"/>
        <c:crosses val="autoZero"/>
        <c:auto val="1"/>
        <c:lblAlgn val="ctr"/>
        <c:lblOffset val="100"/>
        <c:noMultiLvlLbl val="0"/>
      </c:catAx>
      <c:valAx>
        <c:axId val="-737265216"/>
        <c:scaling>
          <c:orientation val="minMax"/>
        </c:scaling>
        <c:delete val="0"/>
        <c:axPos val="l"/>
        <c:majorGridlines/>
        <c:numFmt formatCode="General" sourceLinked="1"/>
        <c:majorTickMark val="out"/>
        <c:minorTickMark val="none"/>
        <c:tickLblPos val="nextTo"/>
        <c:txPr>
          <a:bodyPr/>
          <a:lstStyle/>
          <a:p>
            <a:pPr>
              <a:defRPr sz="1000">
                <a:solidFill>
                  <a:srgbClr val="002060"/>
                </a:solidFill>
              </a:defRPr>
            </a:pPr>
            <a:endParaRPr lang="en-US"/>
          </a:p>
        </c:txPr>
        <c:crossAx val="-737269568"/>
        <c:crosses val="autoZero"/>
        <c:crossBetween val="between"/>
      </c:valAx>
    </c:plotArea>
    <c:plotVisOnly val="1"/>
    <c:dispBlanksAs val="gap"/>
    <c:showDLblsOverMax val="0"/>
  </c:chart>
  <c:spPr>
    <a:ln w="12700">
      <a:solidFill>
        <a:srgbClr val="0070C0"/>
      </a:solidFill>
    </a:ln>
  </c:spPr>
  <c:txPr>
    <a:bodyPr/>
    <a:lstStyle/>
    <a:p>
      <a:pPr>
        <a:defRPr sz="1800"/>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884761687397771E-2"/>
          <c:y val="2.132079833835018E-2"/>
          <c:w val="0.92883021415801281"/>
          <c:h val="0.87097922524060412"/>
        </c:manualLayout>
      </c:layout>
      <c:lineChart>
        <c:grouping val="standard"/>
        <c:varyColors val="0"/>
        <c:ser>
          <c:idx val="0"/>
          <c:order val="0"/>
          <c:tx>
            <c:strRef>
              <c:f>Sheet1!$B$1</c:f>
              <c:strCache>
                <c:ptCount val="1"/>
                <c:pt idx="0">
                  <c:v>Series 1</c:v>
                </c:pt>
              </c:strCache>
            </c:strRef>
          </c:tx>
          <c:spPr>
            <a:ln w="38100" cap="sq">
              <a:solidFill>
                <a:schemeClr val="accent1"/>
              </a:solidFill>
              <a:round/>
            </a:ln>
            <a:effectLst/>
          </c:spPr>
          <c:marker>
            <c:symbol val="square"/>
            <c:size val="6"/>
            <c:spPr>
              <a:solidFill>
                <a:srgbClr val="0070C0">
                  <a:alpha val="78000"/>
                </a:srgbClr>
              </a:solidFill>
              <a:ln w="9525">
                <a:solidFill>
                  <a:schemeClr val="accent1"/>
                </a:solidFill>
              </a:ln>
              <a:effectLst/>
            </c:spPr>
          </c:marker>
          <c:dPt>
            <c:idx val="7"/>
            <c:marker>
              <c:symbol val="square"/>
              <c:size val="6"/>
              <c:spPr>
                <a:solidFill>
                  <a:srgbClr val="0070C0">
                    <a:alpha val="78000"/>
                  </a:srgbClr>
                </a:solidFill>
                <a:ln w="9525">
                  <a:solidFill>
                    <a:schemeClr val="accent1"/>
                  </a:solidFill>
                </a:ln>
                <a:effectLst/>
              </c:spPr>
            </c:marker>
            <c:bubble3D val="0"/>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Sheet1!$B$2:$B$12</c:f>
              <c:numCache>
                <c:formatCode>General</c:formatCode>
                <c:ptCount val="11"/>
                <c:pt idx="0">
                  <c:v>5059</c:v>
                </c:pt>
                <c:pt idx="1">
                  <c:v>5658</c:v>
                </c:pt>
                <c:pt idx="2">
                  <c:v>5656</c:v>
                </c:pt>
                <c:pt idx="3">
                  <c:v>5628</c:v>
                </c:pt>
                <c:pt idx="4">
                  <c:v>4252</c:v>
                </c:pt>
                <c:pt idx="5">
                  <c:v>4232</c:v>
                </c:pt>
                <c:pt idx="6">
                  <c:v>4940</c:v>
                </c:pt>
                <c:pt idx="7">
                  <c:v>5229</c:v>
                </c:pt>
                <c:pt idx="8">
                  <c:v>10506</c:v>
                </c:pt>
                <c:pt idx="9">
                  <c:v>10097</c:v>
                </c:pt>
                <c:pt idx="10">
                  <c:v>8731</c:v>
                </c:pt>
              </c:numCache>
            </c:numRef>
          </c:val>
          <c:smooth val="0"/>
          <c:extLst xmlns:c16r2="http://schemas.microsoft.com/office/drawing/2015/06/chart">
            <c:ext xmlns:c16="http://schemas.microsoft.com/office/drawing/2014/chart" uri="{C3380CC4-5D6E-409C-BE32-E72D297353CC}">
              <c16:uniqueId val="{00000001-977B-47B3-9780-3F8BB482187F}"/>
            </c:ext>
          </c:extLst>
        </c:ser>
        <c:dLbls>
          <c:showLegendKey val="0"/>
          <c:showVal val="0"/>
          <c:showCatName val="0"/>
          <c:showSerName val="0"/>
          <c:showPercent val="0"/>
          <c:showBubbleSize val="0"/>
        </c:dLbls>
        <c:marker val="1"/>
        <c:smooth val="0"/>
        <c:axId val="-582045760"/>
        <c:axId val="-491110032"/>
      </c:lineChart>
      <c:catAx>
        <c:axId val="-58204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491110032"/>
        <c:crosses val="autoZero"/>
        <c:auto val="1"/>
        <c:lblAlgn val="ctr"/>
        <c:lblOffset val="100"/>
        <c:noMultiLvlLbl val="0"/>
      </c:catAx>
      <c:valAx>
        <c:axId val="-491110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582045760"/>
        <c:crosses val="autoZero"/>
        <c:crossBetween val="between"/>
      </c:valAx>
      <c:spPr>
        <a:noFill/>
        <a:ln w="0">
          <a:solidFill>
            <a:schemeClr val="bg1"/>
          </a:solidFill>
        </a:ln>
        <a:effectLst/>
      </c:spPr>
    </c:plotArea>
    <c:plotVisOnly val="1"/>
    <c:dispBlanksAs val="gap"/>
    <c:showDLblsOverMax val="0"/>
  </c:chart>
  <c:spPr>
    <a:solidFill>
      <a:schemeClr val="bg1"/>
    </a:solidFill>
    <a:ln w="19050" cap="flat" cmpd="sng" algn="ctr">
      <a:solidFill>
        <a:schemeClr val="accent1"/>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182353322268901E-2"/>
          <c:y val="3.9348772042525446E-2"/>
          <c:w val="0.91596190603563077"/>
          <c:h val="0.70533068373037822"/>
        </c:manualLayout>
      </c:layout>
      <c:barChart>
        <c:barDir val="col"/>
        <c:grouping val="clustered"/>
        <c:varyColors val="0"/>
        <c:ser>
          <c:idx val="0"/>
          <c:order val="0"/>
          <c:tx>
            <c:strRef>
              <c:f>Sheet1!$B$1</c:f>
              <c:strCache>
                <c:ptCount val="1"/>
                <c:pt idx="0">
                  <c:v>ქალი</c:v>
                </c:pt>
              </c:strCache>
            </c:strRef>
          </c:tx>
          <c:spPr>
            <a:solidFill>
              <a:srgbClr val="FC6446"/>
            </a:solidFill>
            <a:ln>
              <a:noFill/>
            </a:ln>
            <a:effectLst/>
          </c:spPr>
          <c:invertIfNegative val="0"/>
          <c:cat>
            <c:strRef>
              <c:f>Sheet1!$A$2:$A$18</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c:v>
                </c:pt>
              </c:strCache>
            </c:strRef>
          </c:cat>
          <c:val>
            <c:numRef>
              <c:f>Sheet1!$B$2:$B$18</c:f>
              <c:numCache>
                <c:formatCode>General</c:formatCode>
                <c:ptCount val="17"/>
                <c:pt idx="0">
                  <c:v>1</c:v>
                </c:pt>
                <c:pt idx="1">
                  <c:v>2</c:v>
                </c:pt>
                <c:pt idx="2">
                  <c:v>6</c:v>
                </c:pt>
                <c:pt idx="3">
                  <c:v>20</c:v>
                </c:pt>
                <c:pt idx="4">
                  <c:v>50.9</c:v>
                </c:pt>
                <c:pt idx="5">
                  <c:v>77.3</c:v>
                </c:pt>
                <c:pt idx="6">
                  <c:v>128.6</c:v>
                </c:pt>
                <c:pt idx="7">
                  <c:v>187.8</c:v>
                </c:pt>
                <c:pt idx="8">
                  <c:v>253.5</c:v>
                </c:pt>
                <c:pt idx="9">
                  <c:v>326.5</c:v>
                </c:pt>
                <c:pt idx="10">
                  <c:v>365.6</c:v>
                </c:pt>
                <c:pt idx="11">
                  <c:v>426.6</c:v>
                </c:pt>
                <c:pt idx="12">
                  <c:v>561.9</c:v>
                </c:pt>
                <c:pt idx="13">
                  <c:v>587.70000000000005</c:v>
                </c:pt>
                <c:pt idx="14">
                  <c:v>625</c:v>
                </c:pt>
                <c:pt idx="15">
                  <c:v>524.5</c:v>
                </c:pt>
                <c:pt idx="16">
                  <c:v>428.2</c:v>
                </c:pt>
              </c:numCache>
            </c:numRef>
          </c:val>
          <c:extLst xmlns:c16r2="http://schemas.microsoft.com/office/drawing/2015/06/chart">
            <c:ext xmlns:c16="http://schemas.microsoft.com/office/drawing/2014/chart" uri="{C3380CC4-5D6E-409C-BE32-E72D297353CC}">
              <c16:uniqueId val="{00000000-FF81-4DD3-AAC5-8CEE7EC18C21}"/>
            </c:ext>
          </c:extLst>
        </c:ser>
        <c:ser>
          <c:idx val="1"/>
          <c:order val="1"/>
          <c:tx>
            <c:strRef>
              <c:f>Sheet1!$C$1</c:f>
              <c:strCache>
                <c:ptCount val="1"/>
                <c:pt idx="0">
                  <c:v>კაცი</c:v>
                </c:pt>
              </c:strCache>
            </c:strRef>
          </c:tx>
          <c:spPr>
            <a:solidFill>
              <a:srgbClr val="0070C0">
                <a:alpha val="81000"/>
              </a:srgbClr>
            </a:solidFill>
            <a:ln>
              <a:noFill/>
            </a:ln>
            <a:effectLst/>
          </c:spPr>
          <c:invertIfNegative val="0"/>
          <c:cat>
            <c:strRef>
              <c:f>Sheet1!$A$2:$A$18</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c:v>
                </c:pt>
              </c:strCache>
            </c:strRef>
          </c:cat>
          <c:val>
            <c:numRef>
              <c:f>Sheet1!$C$2:$C$18</c:f>
              <c:numCache>
                <c:formatCode>General</c:formatCode>
                <c:ptCount val="17"/>
                <c:pt idx="0">
                  <c:v>11</c:v>
                </c:pt>
                <c:pt idx="1">
                  <c:v>7</c:v>
                </c:pt>
                <c:pt idx="2">
                  <c:v>8</c:v>
                </c:pt>
                <c:pt idx="3">
                  <c:v>13</c:v>
                </c:pt>
                <c:pt idx="4">
                  <c:v>16</c:v>
                </c:pt>
                <c:pt idx="5">
                  <c:v>35</c:v>
                </c:pt>
                <c:pt idx="6">
                  <c:v>47</c:v>
                </c:pt>
                <c:pt idx="7">
                  <c:v>57</c:v>
                </c:pt>
                <c:pt idx="8">
                  <c:v>111</c:v>
                </c:pt>
                <c:pt idx="9">
                  <c:v>154</c:v>
                </c:pt>
                <c:pt idx="10">
                  <c:v>264</c:v>
                </c:pt>
                <c:pt idx="11">
                  <c:v>461</c:v>
                </c:pt>
                <c:pt idx="12">
                  <c:v>631</c:v>
                </c:pt>
                <c:pt idx="13">
                  <c:v>869</c:v>
                </c:pt>
                <c:pt idx="14">
                  <c:v>985</c:v>
                </c:pt>
                <c:pt idx="15">
                  <c:v>855</c:v>
                </c:pt>
                <c:pt idx="16">
                  <c:v>785</c:v>
                </c:pt>
              </c:numCache>
            </c:numRef>
          </c:val>
          <c:extLst xmlns:c16r2="http://schemas.microsoft.com/office/drawing/2015/06/chart">
            <c:ext xmlns:c16="http://schemas.microsoft.com/office/drawing/2014/chart" uri="{C3380CC4-5D6E-409C-BE32-E72D297353CC}">
              <c16:uniqueId val="{00000001-FF81-4DD3-AAC5-8CEE7EC18C21}"/>
            </c:ext>
          </c:extLst>
        </c:ser>
        <c:dLbls>
          <c:showLegendKey val="0"/>
          <c:showVal val="0"/>
          <c:showCatName val="0"/>
          <c:showSerName val="0"/>
          <c:showPercent val="0"/>
          <c:showBubbleSize val="0"/>
        </c:dLbls>
        <c:gapWidth val="219"/>
        <c:overlap val="-27"/>
        <c:axId val="-491109488"/>
        <c:axId val="-491112208"/>
      </c:barChart>
      <c:catAx>
        <c:axId val="-49110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197" b="0" i="0" u="none" strike="noStrike" kern="1200" baseline="0">
                <a:ln w="12700">
                  <a:solidFill>
                    <a:srgbClr val="002060"/>
                  </a:solidFill>
                </a:ln>
                <a:solidFill>
                  <a:schemeClr val="tx1">
                    <a:lumMod val="65000"/>
                    <a:lumOff val="35000"/>
                  </a:schemeClr>
                </a:solidFill>
                <a:latin typeface="+mn-lt"/>
                <a:ea typeface="+mn-ea"/>
                <a:cs typeface="+mn-cs"/>
              </a:defRPr>
            </a:pPr>
            <a:endParaRPr lang="en-US"/>
          </a:p>
        </c:txPr>
        <c:crossAx val="-491112208"/>
        <c:crosses val="autoZero"/>
        <c:auto val="1"/>
        <c:lblAlgn val="ctr"/>
        <c:lblOffset val="100"/>
        <c:noMultiLvlLbl val="0"/>
      </c:catAx>
      <c:valAx>
        <c:axId val="-491112208"/>
        <c:scaling>
          <c:orientation val="minMax"/>
          <c:max val="1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ln w="12700">
                  <a:solidFill>
                    <a:srgbClr val="002060"/>
                  </a:solidFill>
                </a:ln>
                <a:solidFill>
                  <a:schemeClr val="tx1">
                    <a:lumMod val="65000"/>
                    <a:lumOff val="35000"/>
                  </a:schemeClr>
                </a:solidFill>
                <a:latin typeface="+mn-lt"/>
                <a:ea typeface="+mn-ea"/>
                <a:cs typeface="+mn-cs"/>
              </a:defRPr>
            </a:pPr>
            <a:endParaRPr lang="en-US"/>
          </a:p>
        </c:txPr>
        <c:crossAx val="-491109488"/>
        <c:crosses val="autoZero"/>
        <c:crossBetween val="between"/>
      </c:valAx>
      <c:spPr>
        <a:noFill/>
        <a:ln>
          <a:noFill/>
        </a:ln>
        <a:effectLst/>
      </c:spPr>
    </c:plotArea>
    <c:legend>
      <c:legendPos val="b"/>
      <c:layout>
        <c:manualLayout>
          <c:xMode val="edge"/>
          <c:yMode val="edge"/>
          <c:x val="0.30040412943582245"/>
          <c:y val="0.20441664309087401"/>
          <c:w val="0.21931763740304874"/>
          <c:h val="9.0738470227727588E-2"/>
        </c:manualLayout>
      </c:layout>
      <c:overlay val="0"/>
      <c:spPr>
        <a:noFill/>
        <a:ln>
          <a:noFill/>
        </a:ln>
        <a:effectLst/>
      </c:spPr>
      <c:txPr>
        <a:bodyPr rot="0" spcFirstLastPara="1" vertOverflow="ellipsis" vert="horz" wrap="square" anchor="ctr" anchorCtr="1"/>
        <a:lstStyle/>
        <a:p>
          <a:pPr>
            <a:defRPr sz="1197" b="0" i="0" u="none" strike="noStrike" kern="1200" baseline="0">
              <a:ln w="12700">
                <a:solidFill>
                  <a:srgbClr val="002060"/>
                </a:solidFill>
              </a:ln>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c:spPr>
  <c:txPr>
    <a:bodyPr/>
    <a:lstStyle/>
    <a:p>
      <a:pPr>
        <a:defRPr>
          <a:ln w="12700">
            <a:solidFill>
              <a:srgbClr val="002060"/>
            </a:solidFill>
          </a:ln>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159145255226613E-2"/>
          <c:y val="2.8600002251968681E-2"/>
          <c:w val="0.94546971303202731"/>
          <c:h val="0.4977389583304031"/>
        </c:manualLayout>
      </c:layout>
      <c:barChart>
        <c:barDir val="col"/>
        <c:grouping val="clustered"/>
        <c:varyColors val="0"/>
        <c:ser>
          <c:idx val="0"/>
          <c:order val="0"/>
          <c:tx>
            <c:strRef>
              <c:f>Sheet5!$B$15</c:f>
              <c:strCache>
                <c:ptCount val="1"/>
                <c:pt idx="0">
                  <c:v>2017</c:v>
                </c:pt>
              </c:strCache>
            </c:strRef>
          </c:tx>
          <c:spPr>
            <a:solidFill>
              <a:schemeClr val="accent1"/>
            </a:solidFill>
            <a:ln>
              <a:noFill/>
            </a:ln>
            <a:effectLst/>
          </c:spPr>
          <c:invertIfNegative val="0"/>
          <c:cat>
            <c:strRef>
              <c:f>Sheet5!$A$16:$A$26</c:f>
              <c:strCache>
                <c:ptCount val="11"/>
                <c:pt idx="0">
                  <c:v>სამცხე-ჯავახეთი</c:v>
                </c:pt>
                <c:pt idx="1">
                  <c:v>ქვემო ქართლი</c:v>
                </c:pt>
                <c:pt idx="2">
                  <c:v>კახეთი</c:v>
                </c:pt>
                <c:pt idx="3">
                  <c:v>შიდა ქართლი</c:v>
                </c:pt>
                <c:pt idx="4">
                  <c:v>სამეგრელო და ზემო სვანეთი</c:v>
                </c:pt>
                <c:pt idx="5">
                  <c:v>მცხეთა-თიანეთი</c:v>
                </c:pt>
                <c:pt idx="6">
                  <c:v>იმერეთი</c:v>
                </c:pt>
                <c:pt idx="7">
                  <c:v>აჭარა</c:v>
                </c:pt>
                <c:pt idx="8">
                  <c:v>გურია</c:v>
                </c:pt>
                <c:pt idx="9">
                  <c:v>რაჭა-ლეჩხუმი და ქვ.სვანეთი</c:v>
                </c:pt>
                <c:pt idx="10">
                  <c:v>თბილისი</c:v>
                </c:pt>
              </c:strCache>
            </c:strRef>
          </c:cat>
          <c:val>
            <c:numRef>
              <c:f>Sheet5!$B$16:$B$26</c:f>
              <c:numCache>
                <c:formatCode>0.0</c:formatCode>
                <c:ptCount val="11"/>
                <c:pt idx="0">
                  <c:v>152.07667731629394</c:v>
                </c:pt>
                <c:pt idx="1">
                  <c:v>164.73317865429235</c:v>
                </c:pt>
                <c:pt idx="2">
                  <c:v>193.46653980336188</c:v>
                </c:pt>
                <c:pt idx="3">
                  <c:v>198.61431870669745</c:v>
                </c:pt>
                <c:pt idx="4">
                  <c:v>209.30232558139534</c:v>
                </c:pt>
                <c:pt idx="5">
                  <c:v>209.79765708200213</c:v>
                </c:pt>
                <c:pt idx="6">
                  <c:v>233.40513021343256</c:v>
                </c:pt>
                <c:pt idx="7">
                  <c:v>243.40005802146794</c:v>
                </c:pt>
                <c:pt idx="8">
                  <c:v>251.35135135135135</c:v>
                </c:pt>
                <c:pt idx="9">
                  <c:v>281.96721311475409</c:v>
                </c:pt>
                <c:pt idx="10">
                  <c:v>288.08263171599685</c:v>
                </c:pt>
              </c:numCache>
            </c:numRef>
          </c:val>
          <c:extLst xmlns:c16r2="http://schemas.microsoft.com/office/drawing/2015/06/chart">
            <c:ext xmlns:c16="http://schemas.microsoft.com/office/drawing/2014/chart" uri="{C3380CC4-5D6E-409C-BE32-E72D297353CC}">
              <c16:uniqueId val="{00000000-8066-4D41-9D61-9F95394D4C50}"/>
            </c:ext>
          </c:extLst>
        </c:ser>
        <c:dLbls>
          <c:showLegendKey val="0"/>
          <c:showVal val="0"/>
          <c:showCatName val="0"/>
          <c:showSerName val="0"/>
          <c:showPercent val="0"/>
          <c:showBubbleSize val="0"/>
        </c:dLbls>
        <c:gapWidth val="219"/>
        <c:overlap val="-27"/>
        <c:axId val="-491107312"/>
        <c:axId val="-491110576"/>
      </c:barChart>
      <c:catAx>
        <c:axId val="-49110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ln w="9525">
                  <a:solidFill>
                    <a:srgbClr val="002060"/>
                  </a:solidFill>
                </a:ln>
                <a:solidFill>
                  <a:schemeClr val="tx1">
                    <a:lumMod val="65000"/>
                    <a:lumOff val="35000"/>
                  </a:schemeClr>
                </a:solidFill>
                <a:latin typeface="+mn-lt"/>
                <a:ea typeface="+mn-ea"/>
                <a:cs typeface="+mn-cs"/>
              </a:defRPr>
            </a:pPr>
            <a:endParaRPr lang="en-US"/>
          </a:p>
        </c:txPr>
        <c:crossAx val="-491110576"/>
        <c:crosses val="autoZero"/>
        <c:auto val="1"/>
        <c:lblAlgn val="ctr"/>
        <c:lblOffset val="100"/>
        <c:noMultiLvlLbl val="0"/>
      </c:catAx>
      <c:valAx>
        <c:axId val="-491110576"/>
        <c:scaling>
          <c:orientation val="minMax"/>
          <c:max val="3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rgbClr val="0070C0"/>
            </a:solidFill>
          </a:ln>
          <a:effectLst/>
        </c:spPr>
        <c:txPr>
          <a:bodyPr rot="-60000000" spcFirstLastPara="1" vertOverflow="ellipsis" vert="horz" wrap="square" anchor="ctr" anchorCtr="1"/>
          <a:lstStyle/>
          <a:p>
            <a:pPr>
              <a:defRPr sz="900" b="0" i="0" u="none" strike="noStrike" kern="1200" baseline="0">
                <a:ln>
                  <a:solidFill>
                    <a:srgbClr val="002060"/>
                  </a:solidFill>
                </a:ln>
                <a:solidFill>
                  <a:schemeClr val="tx1">
                    <a:lumMod val="65000"/>
                    <a:lumOff val="35000"/>
                  </a:schemeClr>
                </a:solidFill>
                <a:latin typeface="+mn-lt"/>
                <a:ea typeface="+mn-ea"/>
                <a:cs typeface="+mn-cs"/>
              </a:defRPr>
            </a:pPr>
            <a:endParaRPr lang="en-US"/>
          </a:p>
        </c:txPr>
        <c:crossAx val="-491107312"/>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rgbClr val="0070C0"/>
      </a:solidFill>
      <a:round/>
    </a:ln>
    <a:effectLst/>
  </c:spPr>
  <c:txPr>
    <a:bodyPr/>
    <a:lstStyle/>
    <a:p>
      <a:pPr>
        <a:defRPr>
          <a:ln w="12700">
            <a:solidFill>
              <a:srgbClr val="0070C0"/>
            </a:solidFill>
          </a:ln>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90199379086052E-2"/>
          <c:y val="1.7020040719209165E-2"/>
          <c:w val="0.90351334949110718"/>
          <c:h val="0.704552547369935"/>
        </c:manualLayout>
      </c:layout>
      <c:barChart>
        <c:barDir val="col"/>
        <c:grouping val="percentStacked"/>
        <c:varyColors val="0"/>
        <c:ser>
          <c:idx val="0"/>
          <c:order val="0"/>
          <c:tx>
            <c:strRef>
              <c:f>Sheet1!$B$1</c:f>
              <c:strCache>
                <c:ptCount val="1"/>
                <c:pt idx="0">
                  <c:v>I სტადია</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სარძ. ჯირკ.</c:v>
                </c:pt>
                <c:pt idx="1">
                  <c:v>ფარის. ჯირკ.</c:v>
                </c:pt>
                <c:pt idx="2">
                  <c:v>საშვილ. ტანი</c:v>
                </c:pt>
                <c:pt idx="3">
                  <c:v>საშვილ. ყელი</c:v>
                </c:pt>
                <c:pt idx="4">
                  <c:v>კოლორექტუმი</c:v>
                </c:pt>
              </c:strCache>
            </c:strRef>
          </c:cat>
          <c:val>
            <c:numRef>
              <c:f>Sheet1!$B$2:$B$6</c:f>
              <c:numCache>
                <c:formatCode>General</c:formatCode>
                <c:ptCount val="5"/>
                <c:pt idx="0">
                  <c:v>19.3</c:v>
                </c:pt>
                <c:pt idx="1">
                  <c:v>68.900000000000006</c:v>
                </c:pt>
                <c:pt idx="2">
                  <c:v>55.6</c:v>
                </c:pt>
                <c:pt idx="3">
                  <c:v>25.2</c:v>
                </c:pt>
                <c:pt idx="4">
                  <c:v>4.2</c:v>
                </c:pt>
              </c:numCache>
            </c:numRef>
          </c:val>
        </c:ser>
        <c:ser>
          <c:idx val="1"/>
          <c:order val="1"/>
          <c:tx>
            <c:strRef>
              <c:f>Sheet1!$C$1</c:f>
              <c:strCache>
                <c:ptCount val="1"/>
                <c:pt idx="0">
                  <c:v>II სტადია</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სარძ. ჯირკ.</c:v>
                </c:pt>
                <c:pt idx="1">
                  <c:v>ფარის. ჯირკ.</c:v>
                </c:pt>
                <c:pt idx="2">
                  <c:v>საშვილ. ტანი</c:v>
                </c:pt>
                <c:pt idx="3">
                  <c:v>საშვილ. ყელი</c:v>
                </c:pt>
                <c:pt idx="4">
                  <c:v>კოლორექტუმი</c:v>
                </c:pt>
              </c:strCache>
            </c:strRef>
          </c:cat>
          <c:val>
            <c:numRef>
              <c:f>Sheet1!$C$2:$C$6</c:f>
              <c:numCache>
                <c:formatCode>General</c:formatCode>
                <c:ptCount val="5"/>
                <c:pt idx="0">
                  <c:v>31.7</c:v>
                </c:pt>
                <c:pt idx="1">
                  <c:v>3.1</c:v>
                </c:pt>
                <c:pt idx="2">
                  <c:v>15.1</c:v>
                </c:pt>
                <c:pt idx="3">
                  <c:v>27.6</c:v>
                </c:pt>
                <c:pt idx="4">
                  <c:v>19.600000000000001</c:v>
                </c:pt>
              </c:numCache>
            </c:numRef>
          </c:val>
        </c:ser>
        <c:ser>
          <c:idx val="2"/>
          <c:order val="2"/>
          <c:tx>
            <c:strRef>
              <c:f>Sheet1!$D$1</c:f>
              <c:strCache>
                <c:ptCount val="1"/>
                <c:pt idx="0">
                  <c:v>III სტადია</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სარძ. ჯირკ.</c:v>
                </c:pt>
                <c:pt idx="1">
                  <c:v>ფარის. ჯირკ.</c:v>
                </c:pt>
                <c:pt idx="2">
                  <c:v>საშვილ. ტანი</c:v>
                </c:pt>
                <c:pt idx="3">
                  <c:v>საშვილ. ყელი</c:v>
                </c:pt>
                <c:pt idx="4">
                  <c:v>კოლორექტუმი</c:v>
                </c:pt>
              </c:strCache>
            </c:strRef>
          </c:cat>
          <c:val>
            <c:numRef>
              <c:f>Sheet1!$D$2:$D$6</c:f>
              <c:numCache>
                <c:formatCode>General</c:formatCode>
                <c:ptCount val="5"/>
                <c:pt idx="0">
                  <c:v>19.7</c:v>
                </c:pt>
                <c:pt idx="1">
                  <c:v>21.1</c:v>
                </c:pt>
                <c:pt idx="2">
                  <c:v>12.9</c:v>
                </c:pt>
                <c:pt idx="3">
                  <c:v>23.6</c:v>
                </c:pt>
                <c:pt idx="4">
                  <c:v>35.700000000000003</c:v>
                </c:pt>
              </c:numCache>
            </c:numRef>
          </c:val>
        </c:ser>
        <c:ser>
          <c:idx val="3"/>
          <c:order val="3"/>
          <c:tx>
            <c:strRef>
              <c:f>Sheet1!$E$1</c:f>
              <c:strCache>
                <c:ptCount val="1"/>
                <c:pt idx="0">
                  <c:v>IV სტადია</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სარძ. ჯირკ.</c:v>
                </c:pt>
                <c:pt idx="1">
                  <c:v>ფარის. ჯირკ.</c:v>
                </c:pt>
                <c:pt idx="2">
                  <c:v>საშვილ. ტანი</c:v>
                </c:pt>
                <c:pt idx="3">
                  <c:v>საშვილ. ყელი</c:v>
                </c:pt>
                <c:pt idx="4">
                  <c:v>კოლორექტუმი</c:v>
                </c:pt>
              </c:strCache>
            </c:strRef>
          </c:cat>
          <c:val>
            <c:numRef>
              <c:f>Sheet1!$E$2:$E$6</c:f>
              <c:numCache>
                <c:formatCode>General</c:formatCode>
                <c:ptCount val="5"/>
                <c:pt idx="0">
                  <c:v>12.6</c:v>
                </c:pt>
                <c:pt idx="1">
                  <c:v>4.2</c:v>
                </c:pt>
                <c:pt idx="2">
                  <c:v>6.2</c:v>
                </c:pt>
                <c:pt idx="3">
                  <c:v>11.8</c:v>
                </c:pt>
                <c:pt idx="4">
                  <c:v>31.4</c:v>
                </c:pt>
              </c:numCache>
            </c:numRef>
          </c:val>
        </c:ser>
        <c:ser>
          <c:idx val="4"/>
          <c:order val="4"/>
          <c:tx>
            <c:strRef>
              <c:f>Sheet1!$F$1</c:f>
              <c:strCache>
                <c:ptCount val="1"/>
                <c:pt idx="0">
                  <c:v>უცნობი</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სარძ. ჯირკ.</c:v>
                </c:pt>
                <c:pt idx="1">
                  <c:v>ფარის. ჯირკ.</c:v>
                </c:pt>
                <c:pt idx="2">
                  <c:v>საშვილ. ტანი</c:v>
                </c:pt>
                <c:pt idx="3">
                  <c:v>საშვილ. ყელი</c:v>
                </c:pt>
                <c:pt idx="4">
                  <c:v>კოლორექტუმი</c:v>
                </c:pt>
              </c:strCache>
            </c:strRef>
          </c:cat>
          <c:val>
            <c:numRef>
              <c:f>Sheet1!$F$2:$F$6</c:f>
              <c:numCache>
                <c:formatCode>General</c:formatCode>
                <c:ptCount val="5"/>
                <c:pt idx="0">
                  <c:v>16.7</c:v>
                </c:pt>
                <c:pt idx="1">
                  <c:v>2.7</c:v>
                </c:pt>
                <c:pt idx="2">
                  <c:v>10.199999999999999</c:v>
                </c:pt>
                <c:pt idx="3">
                  <c:v>11.8</c:v>
                </c:pt>
                <c:pt idx="4">
                  <c:v>9.1</c:v>
                </c:pt>
              </c:numCache>
            </c:numRef>
          </c:val>
        </c:ser>
        <c:dLbls>
          <c:showLegendKey val="0"/>
          <c:showVal val="0"/>
          <c:showCatName val="0"/>
          <c:showSerName val="0"/>
          <c:showPercent val="0"/>
          <c:showBubbleSize val="0"/>
        </c:dLbls>
        <c:gapWidth val="150"/>
        <c:overlap val="100"/>
        <c:axId val="-491114384"/>
        <c:axId val="-491113840"/>
      </c:barChart>
      <c:catAx>
        <c:axId val="-49111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n-US"/>
          </a:p>
        </c:txPr>
        <c:crossAx val="-491113840"/>
        <c:crosses val="autoZero"/>
        <c:auto val="1"/>
        <c:lblAlgn val="ctr"/>
        <c:lblOffset val="100"/>
        <c:noMultiLvlLbl val="0"/>
      </c:catAx>
      <c:valAx>
        <c:axId val="-4911138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n-US"/>
          </a:p>
        </c:txPr>
        <c:crossAx val="-491114384"/>
        <c:crosses val="autoZero"/>
        <c:crossBetween val="between"/>
        <c:majorUnit val="0.2"/>
      </c:valAx>
      <c:spPr>
        <a:noFill/>
        <a:ln>
          <a:noFill/>
        </a:ln>
        <a:effectLst/>
      </c:spPr>
    </c:plotArea>
    <c:legend>
      <c:legendPos val="b"/>
      <c:layout>
        <c:manualLayout>
          <c:xMode val="edge"/>
          <c:yMode val="edge"/>
          <c:x val="0.14212218807019272"/>
          <c:y val="0.90081172411109234"/>
          <c:w val="0.76137495254772802"/>
          <c:h val="7.4476579019055911E-2"/>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a:scene3d>
      <a:camera prst="orthographicFront"/>
      <a:lightRig rig="threePt" dir="t"/>
    </a:scene3d>
    <a:sp3d>
      <a:bevelT/>
    </a:sp3d>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4897399188737768E-2"/>
          <c:y val="3.3935206628583195E-2"/>
          <c:w val="0.92048138869005014"/>
          <c:h val="0.62684040965467547"/>
        </c:manualLayout>
      </c:layout>
      <c:lineChart>
        <c:grouping val="standard"/>
        <c:varyColors val="0"/>
        <c:ser>
          <c:idx val="0"/>
          <c:order val="0"/>
          <c:tx>
            <c:strRef>
              <c:f>Sheet1!$B$1</c:f>
              <c:strCache>
                <c:ptCount val="1"/>
                <c:pt idx="0">
                  <c:v>სარძევე ჯირკვალი</c:v>
                </c:pt>
              </c:strCache>
            </c:strRef>
          </c:tx>
          <c:spPr>
            <a:ln w="28575" cap="rnd">
              <a:solidFill>
                <a:schemeClr val="accent1"/>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Sheet1!$B$2:$B$16</c:f>
              <c:numCache>
                <c:formatCode>General</c:formatCode>
                <c:ptCount val="15"/>
                <c:pt idx="0">
                  <c:v>0</c:v>
                </c:pt>
                <c:pt idx="1">
                  <c:v>0.8</c:v>
                </c:pt>
                <c:pt idx="2">
                  <c:v>8.6999999999999993</c:v>
                </c:pt>
                <c:pt idx="3">
                  <c:v>27.9</c:v>
                </c:pt>
                <c:pt idx="4">
                  <c:v>57</c:v>
                </c:pt>
                <c:pt idx="5">
                  <c:v>97.6</c:v>
                </c:pt>
                <c:pt idx="6">
                  <c:v>133.6</c:v>
                </c:pt>
                <c:pt idx="7">
                  <c:v>150.4</c:v>
                </c:pt>
                <c:pt idx="8">
                  <c:v>161.5</c:v>
                </c:pt>
                <c:pt idx="9">
                  <c:v>184.8</c:v>
                </c:pt>
                <c:pt idx="10">
                  <c:v>197.2</c:v>
                </c:pt>
                <c:pt idx="11">
                  <c:v>171.8</c:v>
                </c:pt>
                <c:pt idx="12">
                  <c:v>108.3</c:v>
                </c:pt>
                <c:pt idx="13">
                  <c:v>114.1</c:v>
                </c:pt>
                <c:pt idx="14">
                  <c:v>47.6</c:v>
                </c:pt>
              </c:numCache>
            </c:numRef>
          </c:val>
          <c:smooth val="0"/>
        </c:ser>
        <c:ser>
          <c:idx val="1"/>
          <c:order val="1"/>
          <c:tx>
            <c:strRef>
              <c:f>Sheet1!$C$1</c:f>
              <c:strCache>
                <c:ptCount val="1"/>
                <c:pt idx="0">
                  <c:v>ფარისებრი ჯირკვალი</c:v>
                </c:pt>
              </c:strCache>
            </c:strRef>
          </c:tx>
          <c:spPr>
            <a:ln w="28575" cap="rnd">
              <a:solidFill>
                <a:schemeClr val="accent2"/>
              </a:solidFill>
              <a:round/>
            </a:ln>
            <a:effectLst/>
          </c:spPr>
          <c:marker>
            <c:symbol val="none"/>
          </c:marker>
          <c:dPt>
            <c:idx val="4"/>
            <c:marker>
              <c:symbol val="none"/>
            </c:marker>
            <c:bubble3D val="0"/>
          </c:dPt>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Sheet1!$C$2:$C$16</c:f>
              <c:numCache>
                <c:formatCode>General</c:formatCode>
                <c:ptCount val="15"/>
                <c:pt idx="0">
                  <c:v>3.8</c:v>
                </c:pt>
                <c:pt idx="1">
                  <c:v>34</c:v>
                </c:pt>
                <c:pt idx="2">
                  <c:v>45.7</c:v>
                </c:pt>
                <c:pt idx="3">
                  <c:v>61</c:v>
                </c:pt>
                <c:pt idx="4">
                  <c:v>71.2</c:v>
                </c:pt>
                <c:pt idx="5">
                  <c:v>63.4</c:v>
                </c:pt>
                <c:pt idx="6">
                  <c:v>63.1</c:v>
                </c:pt>
                <c:pt idx="7">
                  <c:v>50.9</c:v>
                </c:pt>
                <c:pt idx="8">
                  <c:v>39.5</c:v>
                </c:pt>
                <c:pt idx="9">
                  <c:v>69.7</c:v>
                </c:pt>
                <c:pt idx="10">
                  <c:v>34</c:v>
                </c:pt>
                <c:pt idx="11">
                  <c:v>27.6</c:v>
                </c:pt>
                <c:pt idx="12">
                  <c:v>12.5</c:v>
                </c:pt>
                <c:pt idx="13">
                  <c:v>2</c:v>
                </c:pt>
                <c:pt idx="14">
                  <c:v>3.2</c:v>
                </c:pt>
              </c:numCache>
            </c:numRef>
          </c:val>
          <c:smooth val="0"/>
        </c:ser>
        <c:ser>
          <c:idx val="2"/>
          <c:order val="2"/>
          <c:tx>
            <c:strRef>
              <c:f>Sheet1!$D$1</c:f>
              <c:strCache>
                <c:ptCount val="1"/>
                <c:pt idx="0">
                  <c:v>საშვილოსნოს ტანის</c:v>
                </c:pt>
              </c:strCache>
            </c:strRef>
          </c:tx>
          <c:spPr>
            <a:ln w="28575" cap="rnd">
              <a:solidFill>
                <a:schemeClr val="tx1"/>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Sheet1!$D$2:$D$16</c:f>
              <c:numCache>
                <c:formatCode>General</c:formatCode>
                <c:ptCount val="15"/>
                <c:pt idx="0">
                  <c:v>0</c:v>
                </c:pt>
                <c:pt idx="1">
                  <c:v>0</c:v>
                </c:pt>
                <c:pt idx="2">
                  <c:v>0.7</c:v>
                </c:pt>
                <c:pt idx="3">
                  <c:v>0.7</c:v>
                </c:pt>
                <c:pt idx="4">
                  <c:v>1.6</c:v>
                </c:pt>
                <c:pt idx="5">
                  <c:v>2.4</c:v>
                </c:pt>
                <c:pt idx="6">
                  <c:v>11.5</c:v>
                </c:pt>
                <c:pt idx="7">
                  <c:v>22.5</c:v>
                </c:pt>
                <c:pt idx="8">
                  <c:v>34.5</c:v>
                </c:pt>
                <c:pt idx="9">
                  <c:v>55.1</c:v>
                </c:pt>
                <c:pt idx="10">
                  <c:v>55.7</c:v>
                </c:pt>
                <c:pt idx="11">
                  <c:v>37.299999999999997</c:v>
                </c:pt>
                <c:pt idx="12">
                  <c:v>35.299999999999997</c:v>
                </c:pt>
                <c:pt idx="13">
                  <c:v>6.1</c:v>
                </c:pt>
                <c:pt idx="14">
                  <c:v>9.5</c:v>
                </c:pt>
              </c:numCache>
            </c:numRef>
          </c:val>
          <c:smooth val="0"/>
        </c:ser>
        <c:ser>
          <c:idx val="3"/>
          <c:order val="3"/>
          <c:tx>
            <c:strRef>
              <c:f>Sheet1!$E$1</c:f>
              <c:strCache>
                <c:ptCount val="1"/>
                <c:pt idx="0">
                  <c:v>საშვილოსნოს ყელის</c:v>
                </c:pt>
              </c:strCache>
            </c:strRef>
          </c:tx>
          <c:spPr>
            <a:ln w="28575" cap="rnd">
              <a:solidFill>
                <a:schemeClr val="accent6"/>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Sheet1!$E$2:$E$16</c:f>
              <c:numCache>
                <c:formatCode>General</c:formatCode>
                <c:ptCount val="15"/>
                <c:pt idx="0">
                  <c:v>0</c:v>
                </c:pt>
                <c:pt idx="1">
                  <c:v>0.9</c:v>
                </c:pt>
                <c:pt idx="2">
                  <c:v>2.2000000000000002</c:v>
                </c:pt>
                <c:pt idx="3">
                  <c:v>5.9</c:v>
                </c:pt>
                <c:pt idx="4">
                  <c:v>12.7</c:v>
                </c:pt>
                <c:pt idx="5">
                  <c:v>26.8</c:v>
                </c:pt>
                <c:pt idx="6">
                  <c:v>2.5</c:v>
                </c:pt>
                <c:pt idx="7">
                  <c:v>28.4</c:v>
                </c:pt>
                <c:pt idx="8">
                  <c:v>26.6</c:v>
                </c:pt>
                <c:pt idx="9">
                  <c:v>23.5</c:v>
                </c:pt>
                <c:pt idx="10">
                  <c:v>26.4</c:v>
                </c:pt>
                <c:pt idx="11">
                  <c:v>25.9</c:v>
                </c:pt>
                <c:pt idx="12">
                  <c:v>11.4</c:v>
                </c:pt>
                <c:pt idx="13">
                  <c:v>6.1</c:v>
                </c:pt>
                <c:pt idx="14">
                  <c:v>6.3</c:v>
                </c:pt>
              </c:numCache>
            </c:numRef>
          </c:val>
          <c:smooth val="0"/>
        </c:ser>
        <c:ser>
          <c:idx val="4"/>
          <c:order val="4"/>
          <c:tx>
            <c:strRef>
              <c:f>Sheet1!$F$1</c:f>
              <c:strCache>
                <c:ptCount val="1"/>
                <c:pt idx="0">
                  <c:v>კოლორექტუმი</c:v>
                </c:pt>
              </c:strCache>
            </c:strRef>
          </c:tx>
          <c:spPr>
            <a:ln w="28575" cap="rnd">
              <a:solidFill>
                <a:schemeClr val="accent3"/>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Sheet1!$F$2:$F$16</c:f>
              <c:numCache>
                <c:formatCode>General</c:formatCode>
                <c:ptCount val="15"/>
                <c:pt idx="0">
                  <c:v>0.4</c:v>
                </c:pt>
                <c:pt idx="1">
                  <c:v>0.9</c:v>
                </c:pt>
                <c:pt idx="2">
                  <c:v>2.2000000000000002</c:v>
                </c:pt>
                <c:pt idx="3">
                  <c:v>0</c:v>
                </c:pt>
                <c:pt idx="4">
                  <c:v>1.6</c:v>
                </c:pt>
                <c:pt idx="5">
                  <c:v>5.7</c:v>
                </c:pt>
                <c:pt idx="6">
                  <c:v>6.6</c:v>
                </c:pt>
                <c:pt idx="7">
                  <c:v>11.2</c:v>
                </c:pt>
                <c:pt idx="8">
                  <c:v>23</c:v>
                </c:pt>
                <c:pt idx="9">
                  <c:v>37.299999999999997</c:v>
                </c:pt>
                <c:pt idx="10">
                  <c:v>48.1</c:v>
                </c:pt>
                <c:pt idx="11">
                  <c:v>63.2</c:v>
                </c:pt>
                <c:pt idx="12">
                  <c:v>50.2</c:v>
                </c:pt>
                <c:pt idx="13">
                  <c:v>44.8</c:v>
                </c:pt>
                <c:pt idx="14">
                  <c:v>44.4</c:v>
                </c:pt>
              </c:numCache>
            </c:numRef>
          </c:val>
          <c:smooth val="0"/>
        </c:ser>
        <c:dLbls>
          <c:showLegendKey val="0"/>
          <c:showVal val="0"/>
          <c:showCatName val="0"/>
          <c:showSerName val="0"/>
          <c:showPercent val="0"/>
          <c:showBubbleSize val="0"/>
        </c:dLbls>
        <c:smooth val="0"/>
        <c:axId val="-495116176"/>
        <c:axId val="-495110192"/>
      </c:lineChart>
      <c:catAx>
        <c:axId val="-495116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rgbClr val="002060"/>
                </a:solidFill>
                <a:latin typeface="+mn-lt"/>
                <a:ea typeface="+mn-ea"/>
                <a:cs typeface="+mn-cs"/>
              </a:defRPr>
            </a:pPr>
            <a:endParaRPr lang="en-US"/>
          </a:p>
        </c:txPr>
        <c:crossAx val="-495110192"/>
        <c:crosses val="autoZero"/>
        <c:auto val="1"/>
        <c:lblAlgn val="ctr"/>
        <c:lblOffset val="100"/>
        <c:noMultiLvlLbl val="0"/>
      </c:catAx>
      <c:valAx>
        <c:axId val="-495110192"/>
        <c:scaling>
          <c:orientation val="minMax"/>
          <c:max val="2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n-US"/>
          </a:p>
        </c:txPr>
        <c:crossAx val="-495116176"/>
        <c:crosses val="autoZero"/>
        <c:crossBetween val="between"/>
      </c:valAx>
      <c:spPr>
        <a:noFill/>
        <a:ln>
          <a:noFill/>
        </a:ln>
        <a:effectLst/>
      </c:spPr>
    </c:plotArea>
    <c:legend>
      <c:legendPos val="b"/>
      <c:layout>
        <c:manualLayout>
          <c:xMode val="edge"/>
          <c:yMode val="edge"/>
          <c:x val="2.8996212121212124E-2"/>
          <c:y val="0.86439033582340674"/>
          <c:w val="0.94651386249132652"/>
          <c:h val="0.11851564708257621"/>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925520467278963E-2"/>
          <c:y val="4.4588432470037631E-2"/>
          <c:w val="0.90088587640614515"/>
          <c:h val="0.67810972657544022"/>
        </c:manualLayout>
      </c:layout>
      <c:barChart>
        <c:barDir val="col"/>
        <c:grouping val="percentStacked"/>
        <c:varyColors val="0"/>
        <c:ser>
          <c:idx val="0"/>
          <c:order val="0"/>
          <c:tx>
            <c:strRef>
              <c:f>Sheet1!$B$1</c:f>
              <c:strCache>
                <c:ptCount val="1"/>
                <c:pt idx="0">
                  <c:v>I სტადია</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ფილტვის</c:v>
                </c:pt>
                <c:pt idx="1">
                  <c:v>წინამდ. ჯირკვ.</c:v>
                </c:pt>
                <c:pt idx="2">
                  <c:v>შარდის ბუშტი</c:v>
                </c:pt>
                <c:pt idx="3">
                  <c:v>კუჭი</c:v>
                </c:pt>
                <c:pt idx="4">
                  <c:v>კოლორექტუმი</c:v>
                </c:pt>
              </c:strCache>
            </c:strRef>
          </c:cat>
          <c:val>
            <c:numRef>
              <c:f>Sheet1!$B$2:$B$6</c:f>
              <c:numCache>
                <c:formatCode>General</c:formatCode>
                <c:ptCount val="5"/>
                <c:pt idx="0">
                  <c:v>2.6</c:v>
                </c:pt>
                <c:pt idx="1">
                  <c:v>12.5</c:v>
                </c:pt>
                <c:pt idx="2">
                  <c:v>42.6</c:v>
                </c:pt>
                <c:pt idx="3">
                  <c:v>3.2</c:v>
                </c:pt>
                <c:pt idx="4">
                  <c:v>3.3</c:v>
                </c:pt>
              </c:numCache>
            </c:numRef>
          </c:val>
        </c:ser>
        <c:ser>
          <c:idx val="1"/>
          <c:order val="1"/>
          <c:tx>
            <c:strRef>
              <c:f>Sheet1!$C$1</c:f>
              <c:strCache>
                <c:ptCount val="1"/>
                <c:pt idx="0">
                  <c:v>II სტადია</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ფილტვის</c:v>
                </c:pt>
                <c:pt idx="1">
                  <c:v>წინამდ. ჯირკვ.</c:v>
                </c:pt>
                <c:pt idx="2">
                  <c:v>შარდის ბუშტი</c:v>
                </c:pt>
                <c:pt idx="3">
                  <c:v>კუჭი</c:v>
                </c:pt>
                <c:pt idx="4">
                  <c:v>კოლორექტუმი</c:v>
                </c:pt>
              </c:strCache>
            </c:strRef>
          </c:cat>
          <c:val>
            <c:numRef>
              <c:f>Sheet1!$C$2:$C$6</c:f>
              <c:numCache>
                <c:formatCode>General</c:formatCode>
                <c:ptCount val="5"/>
                <c:pt idx="0">
                  <c:v>6.5</c:v>
                </c:pt>
                <c:pt idx="1">
                  <c:v>20.8</c:v>
                </c:pt>
                <c:pt idx="2">
                  <c:v>22.9</c:v>
                </c:pt>
                <c:pt idx="3">
                  <c:v>10.5</c:v>
                </c:pt>
                <c:pt idx="4">
                  <c:v>16</c:v>
                </c:pt>
              </c:numCache>
            </c:numRef>
          </c:val>
        </c:ser>
        <c:ser>
          <c:idx val="2"/>
          <c:order val="2"/>
          <c:tx>
            <c:strRef>
              <c:f>Sheet1!$D$1</c:f>
              <c:strCache>
                <c:ptCount val="1"/>
                <c:pt idx="0">
                  <c:v>III სტადია</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ფილტვის</c:v>
                </c:pt>
                <c:pt idx="1">
                  <c:v>წინამდ. ჯირკვ.</c:v>
                </c:pt>
                <c:pt idx="2">
                  <c:v>შარდის ბუშტი</c:v>
                </c:pt>
                <c:pt idx="3">
                  <c:v>კუჭი</c:v>
                </c:pt>
                <c:pt idx="4">
                  <c:v>კოლორექტუმი</c:v>
                </c:pt>
              </c:strCache>
            </c:strRef>
          </c:cat>
          <c:val>
            <c:numRef>
              <c:f>Sheet1!$D$2:$D$6</c:f>
              <c:numCache>
                <c:formatCode>General</c:formatCode>
                <c:ptCount val="5"/>
                <c:pt idx="0">
                  <c:v>19.600000000000001</c:v>
                </c:pt>
                <c:pt idx="1">
                  <c:v>21.7</c:v>
                </c:pt>
                <c:pt idx="2">
                  <c:v>4.9000000000000004</c:v>
                </c:pt>
                <c:pt idx="3">
                  <c:v>26.5</c:v>
                </c:pt>
                <c:pt idx="4">
                  <c:v>41.7</c:v>
                </c:pt>
              </c:numCache>
            </c:numRef>
          </c:val>
        </c:ser>
        <c:ser>
          <c:idx val="3"/>
          <c:order val="3"/>
          <c:tx>
            <c:strRef>
              <c:f>Sheet1!$E$1</c:f>
              <c:strCache>
                <c:ptCount val="1"/>
                <c:pt idx="0">
                  <c:v>IV სტადია</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ფილტვის</c:v>
                </c:pt>
                <c:pt idx="1">
                  <c:v>წინამდ. ჯირკვ.</c:v>
                </c:pt>
                <c:pt idx="2">
                  <c:v>შარდის ბუშტი</c:v>
                </c:pt>
                <c:pt idx="3">
                  <c:v>კუჭი</c:v>
                </c:pt>
                <c:pt idx="4">
                  <c:v>კოლორექტუმი</c:v>
                </c:pt>
              </c:strCache>
            </c:strRef>
          </c:cat>
          <c:val>
            <c:numRef>
              <c:f>Sheet1!$E$2:$E$6</c:f>
              <c:numCache>
                <c:formatCode>General</c:formatCode>
                <c:ptCount val="5"/>
                <c:pt idx="0">
                  <c:v>61.5</c:v>
                </c:pt>
                <c:pt idx="1">
                  <c:v>32.799999999999997</c:v>
                </c:pt>
                <c:pt idx="2">
                  <c:v>6.8</c:v>
                </c:pt>
                <c:pt idx="3">
                  <c:v>46.6</c:v>
                </c:pt>
                <c:pt idx="4">
                  <c:v>28.8</c:v>
                </c:pt>
              </c:numCache>
            </c:numRef>
          </c:val>
        </c:ser>
        <c:ser>
          <c:idx val="4"/>
          <c:order val="4"/>
          <c:tx>
            <c:strRef>
              <c:f>Sheet1!$F$1</c:f>
              <c:strCache>
                <c:ptCount val="1"/>
                <c:pt idx="0">
                  <c:v>უცნობი</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ფილტვის</c:v>
                </c:pt>
                <c:pt idx="1">
                  <c:v>წინამდ. ჯირკვ.</c:v>
                </c:pt>
                <c:pt idx="2">
                  <c:v>შარდის ბუშტი</c:v>
                </c:pt>
                <c:pt idx="3">
                  <c:v>კუჭი</c:v>
                </c:pt>
                <c:pt idx="4">
                  <c:v>კოლორექტუმი</c:v>
                </c:pt>
              </c:strCache>
            </c:strRef>
          </c:cat>
          <c:val>
            <c:numRef>
              <c:f>Sheet1!$F$2:$F$6</c:f>
              <c:numCache>
                <c:formatCode>General</c:formatCode>
                <c:ptCount val="5"/>
                <c:pt idx="0">
                  <c:v>9.8000000000000007</c:v>
                </c:pt>
                <c:pt idx="1">
                  <c:v>12.2</c:v>
                </c:pt>
                <c:pt idx="2">
                  <c:v>22.6</c:v>
                </c:pt>
                <c:pt idx="3">
                  <c:v>13.2</c:v>
                </c:pt>
                <c:pt idx="4">
                  <c:v>10.199999999999999</c:v>
                </c:pt>
              </c:numCache>
            </c:numRef>
          </c:val>
        </c:ser>
        <c:dLbls>
          <c:showLegendKey val="0"/>
          <c:showVal val="0"/>
          <c:showCatName val="0"/>
          <c:showSerName val="0"/>
          <c:showPercent val="0"/>
          <c:showBubbleSize val="0"/>
        </c:dLbls>
        <c:gapWidth val="150"/>
        <c:overlap val="100"/>
        <c:axId val="-495113456"/>
        <c:axId val="-495109104"/>
      </c:barChart>
      <c:catAx>
        <c:axId val="-495113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1000" b="0" i="0" u="none" strike="noStrike" kern="1200" baseline="0">
                <a:solidFill>
                  <a:schemeClr val="accent5">
                    <a:lumMod val="50000"/>
                  </a:schemeClr>
                </a:solidFill>
                <a:latin typeface="+mn-lt"/>
                <a:ea typeface="+mn-ea"/>
                <a:cs typeface="+mn-cs"/>
              </a:defRPr>
            </a:pPr>
            <a:endParaRPr lang="en-US"/>
          </a:p>
        </c:txPr>
        <c:crossAx val="-495109104"/>
        <c:crosses val="autoZero"/>
        <c:auto val="1"/>
        <c:lblAlgn val="ctr"/>
        <c:lblOffset val="100"/>
        <c:noMultiLvlLbl val="0"/>
      </c:catAx>
      <c:valAx>
        <c:axId val="-4951091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n-US"/>
          </a:p>
        </c:txPr>
        <c:crossAx val="-495113456"/>
        <c:crosses val="autoZero"/>
        <c:crossBetween val="between"/>
        <c:majorUnit val="0.2"/>
      </c:valAx>
      <c:spPr>
        <a:noFill/>
        <a:ln>
          <a:noFill/>
        </a:ln>
        <a:effectLst>
          <a:glow rad="63500">
            <a:schemeClr val="accent1">
              <a:satMod val="175000"/>
              <a:alpha val="40000"/>
            </a:schemeClr>
          </a:glow>
        </a:effectLst>
      </c:spPr>
    </c:plotArea>
    <c:legend>
      <c:legendPos val="b"/>
      <c:layout>
        <c:manualLayout>
          <c:xMode val="edge"/>
          <c:yMode val="edge"/>
          <c:x val="0.20431345614508467"/>
          <c:y val="0.86518941382327219"/>
          <c:w val="0.63171572539816789"/>
          <c:h val="8.1554243219597547E-2"/>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a:scene3d>
      <a:camera prst="orthographicFront"/>
      <a:lightRig rig="threePt" dir="t"/>
    </a:scene3d>
    <a:sp3d prstMaterial="matte">
      <a:bevelT/>
      <a:bevelB/>
    </a:sp3d>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36012940242935E-2"/>
          <c:y val="4.2361848318911641E-2"/>
          <c:w val="0.95100317061550188"/>
          <c:h val="0.62704605106179923"/>
        </c:manualLayout>
      </c:layout>
      <c:lineChart>
        <c:grouping val="standard"/>
        <c:varyColors val="0"/>
        <c:ser>
          <c:idx val="0"/>
          <c:order val="0"/>
          <c:tx>
            <c:strRef>
              <c:f>Sheet1!$B$1</c:f>
              <c:strCache>
                <c:ptCount val="1"/>
                <c:pt idx="0">
                  <c:v>კოლორექტუმი</c:v>
                </c:pt>
              </c:strCache>
            </c:strRef>
          </c:tx>
          <c:spPr>
            <a:ln w="28575" cap="rnd">
              <a:solidFill>
                <a:schemeClr val="accent1"/>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Sheet1!$B$2:$B$16</c:f>
              <c:numCache>
                <c:formatCode>General</c:formatCode>
                <c:ptCount val="15"/>
                <c:pt idx="0">
                  <c:v>0.2</c:v>
                </c:pt>
                <c:pt idx="1">
                  <c:v>0</c:v>
                </c:pt>
                <c:pt idx="2">
                  <c:v>0.7</c:v>
                </c:pt>
                <c:pt idx="3">
                  <c:v>3</c:v>
                </c:pt>
                <c:pt idx="4">
                  <c:v>4.0999999999999996</c:v>
                </c:pt>
                <c:pt idx="5">
                  <c:v>4.2</c:v>
                </c:pt>
                <c:pt idx="6">
                  <c:v>13.1</c:v>
                </c:pt>
                <c:pt idx="7">
                  <c:v>18.399999999999999</c:v>
                </c:pt>
                <c:pt idx="8">
                  <c:v>48.2</c:v>
                </c:pt>
                <c:pt idx="9">
                  <c:v>51.8</c:v>
                </c:pt>
                <c:pt idx="10">
                  <c:v>126.8</c:v>
                </c:pt>
                <c:pt idx="11">
                  <c:v>115.9</c:v>
                </c:pt>
                <c:pt idx="12">
                  <c:v>75.099999999999994</c:v>
                </c:pt>
                <c:pt idx="13">
                  <c:v>92.3</c:v>
                </c:pt>
                <c:pt idx="14">
                  <c:v>56</c:v>
                </c:pt>
              </c:numCache>
            </c:numRef>
          </c:val>
          <c:smooth val="0"/>
        </c:ser>
        <c:ser>
          <c:idx val="1"/>
          <c:order val="1"/>
          <c:tx>
            <c:strRef>
              <c:f>Sheet1!$C$1</c:f>
              <c:strCache>
                <c:ptCount val="1"/>
                <c:pt idx="0">
                  <c:v>ტრაქეა,ბრონქი,ფილტვი</c:v>
                </c:pt>
              </c:strCache>
            </c:strRef>
          </c:tx>
          <c:spPr>
            <a:ln w="28575" cap="rnd">
              <a:solidFill>
                <a:schemeClr val="accent2"/>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Sheet1!$C$2:$C$16</c:f>
              <c:numCache>
                <c:formatCode>General</c:formatCode>
                <c:ptCount val="15"/>
                <c:pt idx="0">
                  <c:v>0</c:v>
                </c:pt>
                <c:pt idx="1">
                  <c:v>0</c:v>
                </c:pt>
                <c:pt idx="2">
                  <c:v>1.4</c:v>
                </c:pt>
                <c:pt idx="3">
                  <c:v>0</c:v>
                </c:pt>
                <c:pt idx="4">
                  <c:v>1.6</c:v>
                </c:pt>
                <c:pt idx="5">
                  <c:v>7.6</c:v>
                </c:pt>
                <c:pt idx="6">
                  <c:v>19.2</c:v>
                </c:pt>
                <c:pt idx="7">
                  <c:v>54.4</c:v>
                </c:pt>
                <c:pt idx="8">
                  <c:v>87.1</c:v>
                </c:pt>
                <c:pt idx="9">
                  <c:v>113.9</c:v>
                </c:pt>
                <c:pt idx="10">
                  <c:v>142.69999999999999</c:v>
                </c:pt>
                <c:pt idx="11">
                  <c:v>146.1</c:v>
                </c:pt>
                <c:pt idx="12">
                  <c:v>133.9</c:v>
                </c:pt>
                <c:pt idx="13">
                  <c:v>84.6</c:v>
                </c:pt>
                <c:pt idx="14">
                  <c:v>40</c:v>
                </c:pt>
              </c:numCache>
            </c:numRef>
          </c:val>
          <c:smooth val="0"/>
        </c:ser>
        <c:ser>
          <c:idx val="2"/>
          <c:order val="2"/>
          <c:tx>
            <c:strRef>
              <c:f>Sheet1!$D$1</c:f>
              <c:strCache>
                <c:ptCount val="1"/>
                <c:pt idx="0">
                  <c:v>შარდის ბუშტი</c:v>
                </c:pt>
              </c:strCache>
            </c:strRef>
          </c:tx>
          <c:spPr>
            <a:ln w="28575" cap="rnd">
              <a:solidFill>
                <a:schemeClr val="tx1"/>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Sheet1!$D$2:$D$16</c:f>
              <c:numCache>
                <c:formatCode>General</c:formatCode>
                <c:ptCount val="15"/>
                <c:pt idx="0">
                  <c:v>0</c:v>
                </c:pt>
                <c:pt idx="1">
                  <c:v>0</c:v>
                </c:pt>
                <c:pt idx="2">
                  <c:v>4.3</c:v>
                </c:pt>
                <c:pt idx="3">
                  <c:v>0.7</c:v>
                </c:pt>
                <c:pt idx="4">
                  <c:v>2.4</c:v>
                </c:pt>
                <c:pt idx="5">
                  <c:v>6.7</c:v>
                </c:pt>
                <c:pt idx="6">
                  <c:v>14.9</c:v>
                </c:pt>
                <c:pt idx="7">
                  <c:v>34.299999999999997</c:v>
                </c:pt>
                <c:pt idx="8">
                  <c:v>42.3</c:v>
                </c:pt>
                <c:pt idx="9">
                  <c:v>72.5</c:v>
                </c:pt>
                <c:pt idx="10">
                  <c:v>81.900000000000006</c:v>
                </c:pt>
                <c:pt idx="11">
                  <c:v>125.9</c:v>
                </c:pt>
                <c:pt idx="12">
                  <c:v>129.80000000000001</c:v>
                </c:pt>
                <c:pt idx="13">
                  <c:v>100</c:v>
                </c:pt>
                <c:pt idx="14">
                  <c:v>104</c:v>
                </c:pt>
              </c:numCache>
            </c:numRef>
          </c:val>
          <c:smooth val="0"/>
        </c:ser>
        <c:ser>
          <c:idx val="3"/>
          <c:order val="3"/>
          <c:tx>
            <c:strRef>
              <c:f>Sheet1!$E$1</c:f>
              <c:strCache>
                <c:ptCount val="1"/>
                <c:pt idx="0">
                  <c:v>კუჭი</c:v>
                </c:pt>
              </c:strCache>
            </c:strRef>
          </c:tx>
          <c:spPr>
            <a:ln w="28575" cap="rnd">
              <a:solidFill>
                <a:schemeClr val="accent6"/>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Sheet1!$E$2:$E$16</c:f>
              <c:numCache>
                <c:formatCode>General</c:formatCode>
                <c:ptCount val="15"/>
                <c:pt idx="0">
                  <c:v>0</c:v>
                </c:pt>
                <c:pt idx="1">
                  <c:v>0</c:v>
                </c:pt>
                <c:pt idx="2">
                  <c:v>1.4</c:v>
                </c:pt>
                <c:pt idx="3">
                  <c:v>1.5</c:v>
                </c:pt>
                <c:pt idx="4">
                  <c:v>0</c:v>
                </c:pt>
                <c:pt idx="5">
                  <c:v>5</c:v>
                </c:pt>
                <c:pt idx="6">
                  <c:v>2.6</c:v>
                </c:pt>
                <c:pt idx="7">
                  <c:v>12.6</c:v>
                </c:pt>
                <c:pt idx="8">
                  <c:v>25.4</c:v>
                </c:pt>
                <c:pt idx="9">
                  <c:v>40.4</c:v>
                </c:pt>
                <c:pt idx="10">
                  <c:v>46.2</c:v>
                </c:pt>
                <c:pt idx="11">
                  <c:v>78.099999999999994</c:v>
                </c:pt>
                <c:pt idx="12">
                  <c:v>64.900000000000006</c:v>
                </c:pt>
                <c:pt idx="13">
                  <c:v>57.7</c:v>
                </c:pt>
                <c:pt idx="14">
                  <c:v>72</c:v>
                </c:pt>
              </c:numCache>
            </c:numRef>
          </c:val>
          <c:smooth val="0"/>
        </c:ser>
        <c:ser>
          <c:idx val="4"/>
          <c:order val="4"/>
          <c:tx>
            <c:strRef>
              <c:f>Sheet1!$F$1</c:f>
              <c:strCache>
                <c:ptCount val="1"/>
                <c:pt idx="0">
                  <c:v>წინამდებარე ჯირკვალი</c:v>
                </c:pt>
              </c:strCache>
            </c:strRef>
          </c:tx>
          <c:spPr>
            <a:ln w="28575" cap="rnd">
              <a:solidFill>
                <a:schemeClr val="accent3">
                  <a:lumMod val="60000"/>
                  <a:lumOff val="40000"/>
                </a:schemeClr>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Sheet1!$F$2:$F$16</c:f>
              <c:numCache>
                <c:formatCode>General</c:formatCode>
                <c:ptCount val="15"/>
                <c:pt idx="0">
                  <c:v>0.2</c:v>
                </c:pt>
                <c:pt idx="1">
                  <c:v>0</c:v>
                </c:pt>
                <c:pt idx="2">
                  <c:v>0</c:v>
                </c:pt>
                <c:pt idx="3">
                  <c:v>0</c:v>
                </c:pt>
                <c:pt idx="4">
                  <c:v>0</c:v>
                </c:pt>
                <c:pt idx="5">
                  <c:v>0</c:v>
                </c:pt>
                <c:pt idx="6">
                  <c:v>1.7</c:v>
                </c:pt>
                <c:pt idx="7">
                  <c:v>10.1</c:v>
                </c:pt>
                <c:pt idx="8">
                  <c:v>26.2</c:v>
                </c:pt>
                <c:pt idx="9">
                  <c:v>61.1</c:v>
                </c:pt>
                <c:pt idx="10">
                  <c:v>101.7</c:v>
                </c:pt>
                <c:pt idx="11">
                  <c:v>113.4</c:v>
                </c:pt>
                <c:pt idx="12">
                  <c:v>137.9</c:v>
                </c:pt>
                <c:pt idx="13">
                  <c:v>130.80000000000001</c:v>
                </c:pt>
                <c:pt idx="14">
                  <c:v>64</c:v>
                </c:pt>
              </c:numCache>
            </c:numRef>
          </c:val>
          <c:smooth val="0"/>
        </c:ser>
        <c:dLbls>
          <c:showLegendKey val="0"/>
          <c:showVal val="0"/>
          <c:showCatName val="0"/>
          <c:showSerName val="0"/>
          <c:showPercent val="0"/>
          <c:showBubbleSize val="0"/>
        </c:dLbls>
        <c:smooth val="0"/>
        <c:axId val="-495111280"/>
        <c:axId val="-495110736"/>
      </c:lineChart>
      <c:catAx>
        <c:axId val="-49511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rgbClr val="002060"/>
                </a:solidFill>
                <a:latin typeface="+mn-lt"/>
                <a:ea typeface="+mn-ea"/>
                <a:cs typeface="+mn-cs"/>
              </a:defRPr>
            </a:pPr>
            <a:endParaRPr lang="en-US"/>
          </a:p>
        </c:txPr>
        <c:crossAx val="-495110736"/>
        <c:crosses val="autoZero"/>
        <c:auto val="1"/>
        <c:lblAlgn val="ctr"/>
        <c:lblOffset val="100"/>
        <c:noMultiLvlLbl val="0"/>
      </c:catAx>
      <c:valAx>
        <c:axId val="-495110736"/>
        <c:scaling>
          <c:orientation val="minMax"/>
          <c:max val="16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n-US"/>
          </a:p>
        </c:txPr>
        <c:crossAx val="-495111280"/>
        <c:crosses val="autoZero"/>
        <c:crossBetween val="between"/>
      </c:valAx>
      <c:spPr>
        <a:noFill/>
        <a:ln>
          <a:noFill/>
        </a:ln>
        <a:effectLst/>
      </c:spPr>
    </c:plotArea>
    <c:legend>
      <c:legendPos val="b"/>
      <c:layout>
        <c:manualLayout>
          <c:xMode val="edge"/>
          <c:yMode val="edge"/>
          <c:x val="6.2010449628375895E-2"/>
          <c:y val="0.84252644555794165"/>
          <c:w val="0.93218046145394617"/>
          <c:h val="0.15747355444205841"/>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068168562263051E-2"/>
          <c:y val="3.1154032854444458E-2"/>
          <c:w val="0.91606639447846772"/>
          <c:h val="0.46945191141137571"/>
        </c:manualLayout>
      </c:layout>
      <c:barChart>
        <c:barDir val="col"/>
        <c:grouping val="clustered"/>
        <c:varyColors val="0"/>
        <c:ser>
          <c:idx val="0"/>
          <c:order val="0"/>
          <c:tx>
            <c:strRef>
              <c:f>Sheet1!$B$1</c:f>
              <c:strCache>
                <c:ptCount val="1"/>
                <c:pt idx="0">
                  <c:v>პაციენტთა რაოდენობა (მლნ)</c:v>
                </c:pt>
              </c:strCache>
            </c:strRef>
          </c:tx>
          <c:invertIfNegative val="0"/>
          <c:cat>
            <c:strRef>
              <c:f>Sheet1!$A$2:$A$22</c:f>
              <c:strCache>
                <c:ptCount val="21"/>
                <c:pt idx="0">
                  <c:v>სარძევე ჯირკვალი</c:v>
                </c:pt>
                <c:pt idx="1">
                  <c:v>კოლორექტული</c:v>
                </c:pt>
                <c:pt idx="2">
                  <c:v>პროსტატა</c:v>
                </c:pt>
                <c:pt idx="3">
                  <c:v>ფილტვი</c:v>
                </c:pt>
                <c:pt idx="4">
                  <c:v>კუჭი</c:v>
                </c:pt>
                <c:pt idx="5">
                  <c:v>საშვილოსნოს ტანი</c:v>
                </c:pt>
                <c:pt idx="6">
                  <c:v>შარდის ბუშტი</c:v>
                </c:pt>
                <c:pt idx="7">
                  <c:v>საშვილოსნოს ყელი</c:v>
                </c:pt>
                <c:pt idx="8">
                  <c:v>ტუჩი-პირის ღრუ</c:v>
                </c:pt>
                <c:pt idx="9">
                  <c:v>თირკმელი</c:v>
                </c:pt>
                <c:pt idx="10">
                  <c:v>ფარისებრი</c:v>
                </c:pt>
                <c:pt idx="11">
                  <c:v>ღვიძლი</c:v>
                </c:pt>
                <c:pt idx="12">
                  <c:v>კანის არა-მელანომა</c:v>
                </c:pt>
                <c:pt idx="13">
                  <c:v>საკვერცხე</c:v>
                </c:pt>
                <c:pt idx="14">
                  <c:v>ნერვული-თავის ტვინი</c:v>
                </c:pt>
                <c:pt idx="15">
                  <c:v>ხორხი</c:v>
                </c:pt>
                <c:pt idx="16">
                  <c:v>საყლაპავი</c:v>
                </c:pt>
                <c:pt idx="17">
                  <c:v>პანკრეასი</c:v>
                </c:pt>
                <c:pt idx="18">
                  <c:v>ცხვირ-ხახა</c:v>
                </c:pt>
                <c:pt idx="19">
                  <c:v>სათესლე</c:v>
                </c:pt>
                <c:pt idx="20">
                  <c:v>ნაღვლის ბუშტის</c:v>
                </c:pt>
              </c:strCache>
            </c:strRef>
          </c:cat>
          <c:val>
            <c:numRef>
              <c:f>Sheet1!$B$2:$B$22</c:f>
              <c:numCache>
                <c:formatCode>General</c:formatCode>
                <c:ptCount val="21"/>
                <c:pt idx="0">
                  <c:v>8150000</c:v>
                </c:pt>
                <c:pt idx="1">
                  <c:v>6320000</c:v>
                </c:pt>
                <c:pt idx="2">
                  <c:v>5700000</c:v>
                </c:pt>
                <c:pt idx="3">
                  <c:v>2840000</c:v>
                </c:pt>
                <c:pt idx="4">
                  <c:v>2200000</c:v>
                </c:pt>
                <c:pt idx="5">
                  <c:v>1960000</c:v>
                </c:pt>
                <c:pt idx="6">
                  <c:v>1940000</c:v>
                </c:pt>
                <c:pt idx="7">
                  <c:v>1770000</c:v>
                </c:pt>
                <c:pt idx="8">
                  <c:v>1390000</c:v>
                </c:pt>
                <c:pt idx="9">
                  <c:v>1290000</c:v>
                </c:pt>
                <c:pt idx="10">
                  <c:v>1230000</c:v>
                </c:pt>
                <c:pt idx="11">
                  <c:v>1030000</c:v>
                </c:pt>
                <c:pt idx="12">
                  <c:v>857216</c:v>
                </c:pt>
                <c:pt idx="13">
                  <c:v>785602</c:v>
                </c:pt>
                <c:pt idx="14">
                  <c:v>781185</c:v>
                </c:pt>
                <c:pt idx="15">
                  <c:v>637720</c:v>
                </c:pt>
                <c:pt idx="16">
                  <c:v>556241</c:v>
                </c:pt>
                <c:pt idx="17">
                  <c:v>363570</c:v>
                </c:pt>
                <c:pt idx="18">
                  <c:v>339826</c:v>
                </c:pt>
                <c:pt idx="19">
                  <c:v>332016</c:v>
                </c:pt>
                <c:pt idx="20">
                  <c:v>169019</c:v>
                </c:pt>
              </c:numCache>
            </c:numRef>
          </c:val>
        </c:ser>
        <c:dLbls>
          <c:showLegendKey val="0"/>
          <c:showVal val="0"/>
          <c:showCatName val="0"/>
          <c:showSerName val="0"/>
          <c:showPercent val="0"/>
          <c:showBubbleSize val="0"/>
        </c:dLbls>
        <c:gapWidth val="150"/>
        <c:axId val="-737269024"/>
        <c:axId val="-737268480"/>
      </c:barChart>
      <c:catAx>
        <c:axId val="-737269024"/>
        <c:scaling>
          <c:orientation val="minMax"/>
        </c:scaling>
        <c:delete val="0"/>
        <c:axPos val="b"/>
        <c:numFmt formatCode="General" sourceLinked="0"/>
        <c:majorTickMark val="out"/>
        <c:minorTickMark val="none"/>
        <c:tickLblPos val="nextTo"/>
        <c:txPr>
          <a:bodyPr rot="-5400000" vert="horz"/>
          <a:lstStyle/>
          <a:p>
            <a:pPr>
              <a:defRPr sz="1000">
                <a:solidFill>
                  <a:srgbClr val="002060"/>
                </a:solidFill>
                <a:latin typeface="Sylfaen" panose="010A0502050306030303" pitchFamily="18" charset="0"/>
              </a:defRPr>
            </a:pPr>
            <a:endParaRPr lang="en-US"/>
          </a:p>
        </c:txPr>
        <c:crossAx val="-737268480"/>
        <c:crosses val="autoZero"/>
        <c:auto val="1"/>
        <c:lblAlgn val="ctr"/>
        <c:lblOffset val="100"/>
        <c:noMultiLvlLbl val="0"/>
      </c:catAx>
      <c:valAx>
        <c:axId val="-737268480"/>
        <c:scaling>
          <c:orientation val="minMax"/>
        </c:scaling>
        <c:delete val="0"/>
        <c:axPos val="l"/>
        <c:majorGridlines/>
        <c:numFmt formatCode="0" sourceLinked="0"/>
        <c:majorTickMark val="out"/>
        <c:minorTickMark val="none"/>
        <c:tickLblPos val="nextTo"/>
        <c:txPr>
          <a:bodyPr/>
          <a:lstStyle/>
          <a:p>
            <a:pPr>
              <a:defRPr sz="1000">
                <a:solidFill>
                  <a:srgbClr val="002060"/>
                </a:solidFill>
              </a:defRPr>
            </a:pPr>
            <a:endParaRPr lang="en-US"/>
          </a:p>
        </c:txPr>
        <c:crossAx val="-737269024"/>
        <c:crosses val="autoZero"/>
        <c:crossBetween val="between"/>
        <c:majorUnit val="2000000"/>
      </c:valAx>
    </c:plotArea>
    <c:plotVisOnly val="1"/>
    <c:dispBlanksAs val="gap"/>
    <c:showDLblsOverMax val="0"/>
  </c:chart>
  <c:spPr>
    <a:ln w="12700">
      <a:solidFill>
        <a:srgbClr val="0070C0"/>
      </a:solidFill>
    </a:ln>
  </c:spPr>
  <c:txPr>
    <a:bodyPr/>
    <a:lstStyle/>
    <a:p>
      <a:pPr>
        <a:defRPr sz="1800"/>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567081288751948E-2"/>
          <c:y val="8.6608998473514873E-2"/>
          <c:w val="0.90222180622667336"/>
          <c:h val="0.39713594311349382"/>
        </c:manualLayout>
      </c:layout>
      <c:barChart>
        <c:barDir val="col"/>
        <c:grouping val="percentStacked"/>
        <c:varyColors val="0"/>
        <c:ser>
          <c:idx val="0"/>
          <c:order val="0"/>
          <c:tx>
            <c:strRef>
              <c:f>Sheet1!$B$1</c:f>
              <c:strCache>
                <c:ptCount val="1"/>
                <c:pt idx="0">
                  <c:v>გსდ</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Sheet1!$A$2:$A$16</c:f>
              <c:strCache>
                <c:ptCount val="15"/>
                <c:pt idx="0">
                  <c:v>ავსტრია</c:v>
                </c:pt>
                <c:pt idx="1">
                  <c:v>ბელგია</c:v>
                </c:pt>
                <c:pt idx="2">
                  <c:v>დანია</c:v>
                </c:pt>
                <c:pt idx="3">
                  <c:v>ფინეთი</c:v>
                </c:pt>
                <c:pt idx="4">
                  <c:v>საფრანგეთი</c:v>
                </c:pt>
                <c:pt idx="5">
                  <c:v>გერმანია</c:v>
                </c:pt>
                <c:pt idx="6">
                  <c:v>საბერძნეთი</c:v>
                </c:pt>
                <c:pt idx="7">
                  <c:v>ირლანდია</c:v>
                </c:pt>
                <c:pt idx="8">
                  <c:v>იტალია</c:v>
                </c:pt>
                <c:pt idx="9">
                  <c:v>ლუქსენბურგი</c:v>
                </c:pt>
                <c:pt idx="10">
                  <c:v>ნიდერლანდი</c:v>
                </c:pt>
                <c:pt idx="11">
                  <c:v>პორტუგალია</c:v>
                </c:pt>
                <c:pt idx="12">
                  <c:v>ესპანეთი</c:v>
                </c:pt>
                <c:pt idx="13">
                  <c:v>შვედეთი</c:v>
                </c:pt>
                <c:pt idx="14">
                  <c:v>გაერთ. სამეფო</c:v>
                </c:pt>
              </c:strCache>
            </c:strRef>
          </c:cat>
          <c:val>
            <c:numRef>
              <c:f>Sheet1!$B$2:$B$16</c:f>
              <c:numCache>
                <c:formatCode>General</c:formatCode>
                <c:ptCount val="15"/>
                <c:pt idx="0">
                  <c:v>44.4</c:v>
                </c:pt>
                <c:pt idx="1">
                  <c:v>32.700000000000003</c:v>
                </c:pt>
                <c:pt idx="2">
                  <c:v>26.9</c:v>
                </c:pt>
                <c:pt idx="3">
                  <c:v>38.4</c:v>
                </c:pt>
                <c:pt idx="4">
                  <c:v>29.4</c:v>
                </c:pt>
                <c:pt idx="5">
                  <c:v>41</c:v>
                </c:pt>
                <c:pt idx="6">
                  <c:v>44.2</c:v>
                </c:pt>
                <c:pt idx="7">
                  <c:v>31.3</c:v>
                </c:pt>
                <c:pt idx="8">
                  <c:v>39.299999999999997</c:v>
                </c:pt>
                <c:pt idx="9">
                  <c:v>34.299999999999997</c:v>
                </c:pt>
                <c:pt idx="10">
                  <c:v>28.5</c:v>
                </c:pt>
                <c:pt idx="11">
                  <c:v>33.799999999999997</c:v>
                </c:pt>
                <c:pt idx="12">
                  <c:v>30.9</c:v>
                </c:pt>
                <c:pt idx="13">
                  <c:v>38.5</c:v>
                </c:pt>
                <c:pt idx="14">
                  <c:v>28.2</c:v>
                </c:pt>
              </c:numCache>
            </c:numRef>
          </c:val>
        </c:ser>
        <c:ser>
          <c:idx val="1"/>
          <c:order val="1"/>
          <c:tx>
            <c:strRef>
              <c:f>Sheet1!$C$1</c:f>
              <c:strCache>
                <c:ptCount val="1"/>
                <c:pt idx="0">
                  <c:v>კიბო</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Sheet1!$A$2:$A$16</c:f>
              <c:strCache>
                <c:ptCount val="15"/>
                <c:pt idx="0">
                  <c:v>ავსტრია</c:v>
                </c:pt>
                <c:pt idx="1">
                  <c:v>ბელგია</c:v>
                </c:pt>
                <c:pt idx="2">
                  <c:v>დანია</c:v>
                </c:pt>
                <c:pt idx="3">
                  <c:v>ფინეთი</c:v>
                </c:pt>
                <c:pt idx="4">
                  <c:v>საფრანგეთი</c:v>
                </c:pt>
                <c:pt idx="5">
                  <c:v>გერმანია</c:v>
                </c:pt>
                <c:pt idx="6">
                  <c:v>საბერძნეთი</c:v>
                </c:pt>
                <c:pt idx="7">
                  <c:v>ირლანდია</c:v>
                </c:pt>
                <c:pt idx="8">
                  <c:v>იტალია</c:v>
                </c:pt>
                <c:pt idx="9">
                  <c:v>ლუქსენბურგი</c:v>
                </c:pt>
                <c:pt idx="10">
                  <c:v>ნიდერლანდი</c:v>
                </c:pt>
                <c:pt idx="11">
                  <c:v>პორტუგალია</c:v>
                </c:pt>
                <c:pt idx="12">
                  <c:v>ესპანეთი</c:v>
                </c:pt>
                <c:pt idx="13">
                  <c:v>შვედეთი</c:v>
                </c:pt>
                <c:pt idx="14">
                  <c:v>გაერთ. სამეფო</c:v>
                </c:pt>
              </c:strCache>
            </c:strRef>
          </c:cat>
          <c:val>
            <c:numRef>
              <c:f>Sheet1!$C$2:$C$16</c:f>
              <c:numCache>
                <c:formatCode>General</c:formatCode>
                <c:ptCount val="15"/>
                <c:pt idx="0">
                  <c:v>28</c:v>
                </c:pt>
                <c:pt idx="1">
                  <c:v>30.3</c:v>
                </c:pt>
                <c:pt idx="2">
                  <c:v>35.6</c:v>
                </c:pt>
                <c:pt idx="3">
                  <c:v>24.9</c:v>
                </c:pt>
                <c:pt idx="4">
                  <c:v>35.5</c:v>
                </c:pt>
                <c:pt idx="5">
                  <c:v>28</c:v>
                </c:pt>
                <c:pt idx="6">
                  <c:v>30.1</c:v>
                </c:pt>
                <c:pt idx="7">
                  <c:v>33.1</c:v>
                </c:pt>
                <c:pt idx="8">
                  <c:v>29.7</c:v>
                </c:pt>
                <c:pt idx="9">
                  <c:v>31.4</c:v>
                </c:pt>
                <c:pt idx="10">
                  <c:v>35.4</c:v>
                </c:pt>
                <c:pt idx="11">
                  <c:v>30.7</c:v>
                </c:pt>
                <c:pt idx="12">
                  <c:v>28.7</c:v>
                </c:pt>
                <c:pt idx="13">
                  <c:v>28.4</c:v>
                </c:pt>
                <c:pt idx="14">
                  <c:v>31.5</c:v>
                </c:pt>
              </c:numCache>
            </c:numRef>
          </c:val>
        </c:ser>
        <c:ser>
          <c:idx val="2"/>
          <c:order val="2"/>
          <c:tx>
            <c:strRef>
              <c:f>Sheet1!$D$1</c:f>
              <c:strCache>
                <c:ptCount val="1"/>
                <c:pt idx="0">
                  <c:v>დიაბეტი</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Sheet1!$A$2:$A$16</c:f>
              <c:strCache>
                <c:ptCount val="15"/>
                <c:pt idx="0">
                  <c:v>ავსტრია</c:v>
                </c:pt>
                <c:pt idx="1">
                  <c:v>ბელგია</c:v>
                </c:pt>
                <c:pt idx="2">
                  <c:v>დანია</c:v>
                </c:pt>
                <c:pt idx="3">
                  <c:v>ფინეთი</c:v>
                </c:pt>
                <c:pt idx="4">
                  <c:v>საფრანგეთი</c:v>
                </c:pt>
                <c:pt idx="5">
                  <c:v>გერმანია</c:v>
                </c:pt>
                <c:pt idx="6">
                  <c:v>საბერძნეთი</c:v>
                </c:pt>
                <c:pt idx="7">
                  <c:v>ირლანდია</c:v>
                </c:pt>
                <c:pt idx="8">
                  <c:v>იტალია</c:v>
                </c:pt>
                <c:pt idx="9">
                  <c:v>ლუქსენბურგი</c:v>
                </c:pt>
                <c:pt idx="10">
                  <c:v>ნიდერლანდი</c:v>
                </c:pt>
                <c:pt idx="11">
                  <c:v>პორტუგალია</c:v>
                </c:pt>
                <c:pt idx="12">
                  <c:v>ესპანეთი</c:v>
                </c:pt>
                <c:pt idx="13">
                  <c:v>შვედეთი</c:v>
                </c:pt>
                <c:pt idx="14">
                  <c:v>გაერთ. სამეფო</c:v>
                </c:pt>
              </c:strCache>
            </c:strRef>
          </c:cat>
          <c:val>
            <c:numRef>
              <c:f>Sheet1!$D$2:$D$16</c:f>
              <c:numCache>
                <c:formatCode>General</c:formatCode>
                <c:ptCount val="15"/>
                <c:pt idx="0">
                  <c:v>4.5999999999999996</c:v>
                </c:pt>
                <c:pt idx="1">
                  <c:v>1.8</c:v>
                </c:pt>
                <c:pt idx="2">
                  <c:v>3.2</c:v>
                </c:pt>
                <c:pt idx="3">
                  <c:v>1</c:v>
                </c:pt>
                <c:pt idx="4">
                  <c:v>2.5</c:v>
                </c:pt>
                <c:pt idx="5">
                  <c:v>3</c:v>
                </c:pt>
                <c:pt idx="6">
                  <c:v>1.7</c:v>
                </c:pt>
                <c:pt idx="7">
                  <c:v>2.2000000000000002</c:v>
                </c:pt>
                <c:pt idx="8">
                  <c:v>3.8</c:v>
                </c:pt>
                <c:pt idx="9">
                  <c:v>2.9</c:v>
                </c:pt>
                <c:pt idx="10">
                  <c:v>2.2000000000000002</c:v>
                </c:pt>
                <c:pt idx="11">
                  <c:v>5.0999999999999996</c:v>
                </c:pt>
                <c:pt idx="12">
                  <c:v>2.6</c:v>
                </c:pt>
                <c:pt idx="13">
                  <c:v>2.6</c:v>
                </c:pt>
                <c:pt idx="14">
                  <c:v>1.2</c:v>
                </c:pt>
              </c:numCache>
            </c:numRef>
          </c:val>
        </c:ser>
        <c:ser>
          <c:idx val="3"/>
          <c:order val="3"/>
          <c:tx>
            <c:strRef>
              <c:f>Sheet1!$E$1</c:f>
              <c:strCache>
                <c:ptCount val="1"/>
                <c:pt idx="0">
                  <c:v>ქრდ</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Sheet1!$A$2:$A$16</c:f>
              <c:strCache>
                <c:ptCount val="15"/>
                <c:pt idx="0">
                  <c:v>ავსტრია</c:v>
                </c:pt>
                <c:pt idx="1">
                  <c:v>ბელგია</c:v>
                </c:pt>
                <c:pt idx="2">
                  <c:v>დანია</c:v>
                </c:pt>
                <c:pt idx="3">
                  <c:v>ფინეთი</c:v>
                </c:pt>
                <c:pt idx="4">
                  <c:v>საფრანგეთი</c:v>
                </c:pt>
                <c:pt idx="5">
                  <c:v>გერმანია</c:v>
                </c:pt>
                <c:pt idx="6">
                  <c:v>საბერძნეთი</c:v>
                </c:pt>
                <c:pt idx="7">
                  <c:v>ირლანდია</c:v>
                </c:pt>
                <c:pt idx="8">
                  <c:v>იტალია</c:v>
                </c:pt>
                <c:pt idx="9">
                  <c:v>ლუქსენბურგი</c:v>
                </c:pt>
                <c:pt idx="10">
                  <c:v>ნიდერლანდი</c:v>
                </c:pt>
                <c:pt idx="11">
                  <c:v>პორტუგალია</c:v>
                </c:pt>
                <c:pt idx="12">
                  <c:v>ესპანეთი</c:v>
                </c:pt>
                <c:pt idx="13">
                  <c:v>შვედეთი</c:v>
                </c:pt>
                <c:pt idx="14">
                  <c:v>გაერთ. სამეფო</c:v>
                </c:pt>
              </c:strCache>
            </c:strRef>
          </c:cat>
          <c:val>
            <c:numRef>
              <c:f>Sheet1!$E$2:$E$16</c:f>
              <c:numCache>
                <c:formatCode>General</c:formatCode>
                <c:ptCount val="15"/>
                <c:pt idx="0">
                  <c:v>5.5</c:v>
                </c:pt>
                <c:pt idx="1">
                  <c:v>9.1</c:v>
                </c:pt>
                <c:pt idx="2">
                  <c:v>10.3</c:v>
                </c:pt>
                <c:pt idx="3">
                  <c:v>3.4</c:v>
                </c:pt>
                <c:pt idx="4">
                  <c:v>6.4</c:v>
                </c:pt>
                <c:pt idx="5">
                  <c:v>7</c:v>
                </c:pt>
                <c:pt idx="6">
                  <c:v>10.1</c:v>
                </c:pt>
                <c:pt idx="7">
                  <c:v>9.6999999999999993</c:v>
                </c:pt>
                <c:pt idx="8">
                  <c:v>7.1</c:v>
                </c:pt>
                <c:pt idx="9">
                  <c:v>8.6</c:v>
                </c:pt>
                <c:pt idx="10">
                  <c:v>8.1</c:v>
                </c:pt>
                <c:pt idx="11">
                  <c:v>7.8</c:v>
                </c:pt>
                <c:pt idx="12">
                  <c:v>11.3</c:v>
                </c:pt>
                <c:pt idx="13">
                  <c:v>6.3</c:v>
                </c:pt>
                <c:pt idx="14">
                  <c:v>9.4</c:v>
                </c:pt>
              </c:numCache>
            </c:numRef>
          </c:val>
        </c:ser>
        <c:ser>
          <c:idx val="4"/>
          <c:order val="4"/>
          <c:tx>
            <c:strRef>
              <c:f>Sheet1!$F$1</c:f>
              <c:strCache>
                <c:ptCount val="1"/>
                <c:pt idx="0">
                  <c:v>ნერვული</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strRef>
              <c:f>Sheet1!$A$2:$A$16</c:f>
              <c:strCache>
                <c:ptCount val="15"/>
                <c:pt idx="0">
                  <c:v>ავსტრია</c:v>
                </c:pt>
                <c:pt idx="1">
                  <c:v>ბელგია</c:v>
                </c:pt>
                <c:pt idx="2">
                  <c:v>დანია</c:v>
                </c:pt>
                <c:pt idx="3">
                  <c:v>ფინეთი</c:v>
                </c:pt>
                <c:pt idx="4">
                  <c:v>საფრანგეთი</c:v>
                </c:pt>
                <c:pt idx="5">
                  <c:v>გერმანია</c:v>
                </c:pt>
                <c:pt idx="6">
                  <c:v>საბერძნეთი</c:v>
                </c:pt>
                <c:pt idx="7">
                  <c:v>ირლანდია</c:v>
                </c:pt>
                <c:pt idx="8">
                  <c:v>იტალია</c:v>
                </c:pt>
                <c:pt idx="9">
                  <c:v>ლუქსენბურგი</c:v>
                </c:pt>
                <c:pt idx="10">
                  <c:v>ნიდერლანდი</c:v>
                </c:pt>
                <c:pt idx="11">
                  <c:v>პორტუგალია</c:v>
                </c:pt>
                <c:pt idx="12">
                  <c:v>ესპანეთი</c:v>
                </c:pt>
                <c:pt idx="13">
                  <c:v>შვედეთი</c:v>
                </c:pt>
                <c:pt idx="14">
                  <c:v>გაერთ. სამეფო</c:v>
                </c:pt>
              </c:strCache>
            </c:strRef>
          </c:cat>
          <c:val>
            <c:numRef>
              <c:f>Sheet1!$F$2:$F$16</c:f>
              <c:numCache>
                <c:formatCode>General</c:formatCode>
                <c:ptCount val="15"/>
                <c:pt idx="0">
                  <c:v>5.9</c:v>
                </c:pt>
                <c:pt idx="1">
                  <c:v>12</c:v>
                </c:pt>
                <c:pt idx="2">
                  <c:v>11.4</c:v>
                </c:pt>
                <c:pt idx="3">
                  <c:v>22.3</c:v>
                </c:pt>
                <c:pt idx="4">
                  <c:v>13.2</c:v>
                </c:pt>
                <c:pt idx="5">
                  <c:v>8.6</c:v>
                </c:pt>
                <c:pt idx="6">
                  <c:v>4.4000000000000004</c:v>
                </c:pt>
                <c:pt idx="7">
                  <c:v>12.2</c:v>
                </c:pt>
                <c:pt idx="8">
                  <c:v>8.4</c:v>
                </c:pt>
                <c:pt idx="9">
                  <c:v>11.4</c:v>
                </c:pt>
                <c:pt idx="10">
                  <c:v>15.2</c:v>
                </c:pt>
                <c:pt idx="11">
                  <c:v>9.6999999999999993</c:v>
                </c:pt>
                <c:pt idx="12">
                  <c:v>12.7</c:v>
                </c:pt>
                <c:pt idx="13">
                  <c:v>14</c:v>
                </c:pt>
                <c:pt idx="14">
                  <c:v>18.5</c:v>
                </c:pt>
              </c:numCache>
            </c:numRef>
          </c:val>
        </c:ser>
        <c:ser>
          <c:idx val="5"/>
          <c:order val="5"/>
          <c:tx>
            <c:strRef>
              <c:f>Sheet1!$G$1</c:f>
              <c:strCache>
                <c:ptCount val="1"/>
                <c:pt idx="0">
                  <c:v>საჭმლის მომნელებელი</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strRef>
              <c:f>Sheet1!$A$2:$A$16</c:f>
              <c:strCache>
                <c:ptCount val="15"/>
                <c:pt idx="0">
                  <c:v>ავსტრია</c:v>
                </c:pt>
                <c:pt idx="1">
                  <c:v>ბელგია</c:v>
                </c:pt>
                <c:pt idx="2">
                  <c:v>დანია</c:v>
                </c:pt>
                <c:pt idx="3">
                  <c:v>ფინეთი</c:v>
                </c:pt>
                <c:pt idx="4">
                  <c:v>საფრანგეთი</c:v>
                </c:pt>
                <c:pt idx="5">
                  <c:v>გერმანია</c:v>
                </c:pt>
                <c:pt idx="6">
                  <c:v>საბერძნეთი</c:v>
                </c:pt>
                <c:pt idx="7">
                  <c:v>ირლანდია</c:v>
                </c:pt>
                <c:pt idx="8">
                  <c:v>იტალია</c:v>
                </c:pt>
                <c:pt idx="9">
                  <c:v>ლუქსენბურგი</c:v>
                </c:pt>
                <c:pt idx="10">
                  <c:v>ნიდერლანდი</c:v>
                </c:pt>
                <c:pt idx="11">
                  <c:v>პორტუგალია</c:v>
                </c:pt>
                <c:pt idx="12">
                  <c:v>ესპანეთი</c:v>
                </c:pt>
                <c:pt idx="13">
                  <c:v>შვედეთი</c:v>
                </c:pt>
                <c:pt idx="14">
                  <c:v>გაერთ. სამეფო</c:v>
                </c:pt>
              </c:strCache>
            </c:strRef>
          </c:cat>
          <c:val>
            <c:numRef>
              <c:f>Sheet1!$G$2:$G$16</c:f>
              <c:numCache>
                <c:formatCode>General</c:formatCode>
                <c:ptCount val="15"/>
                <c:pt idx="0">
                  <c:v>4.2</c:v>
                </c:pt>
                <c:pt idx="1">
                  <c:v>5.3</c:v>
                </c:pt>
                <c:pt idx="2">
                  <c:v>5</c:v>
                </c:pt>
                <c:pt idx="3">
                  <c:v>4.8</c:v>
                </c:pt>
                <c:pt idx="4">
                  <c:v>5.0999999999999996</c:v>
                </c:pt>
                <c:pt idx="5">
                  <c:v>4.8</c:v>
                </c:pt>
                <c:pt idx="6">
                  <c:v>3.6</c:v>
                </c:pt>
                <c:pt idx="7">
                  <c:v>4.3</c:v>
                </c:pt>
                <c:pt idx="8">
                  <c:v>4.5</c:v>
                </c:pt>
                <c:pt idx="9">
                  <c:v>5.7</c:v>
                </c:pt>
                <c:pt idx="10">
                  <c:v>3.7</c:v>
                </c:pt>
                <c:pt idx="11">
                  <c:v>5.6</c:v>
                </c:pt>
                <c:pt idx="12">
                  <c:v>5.6</c:v>
                </c:pt>
                <c:pt idx="13">
                  <c:v>3.6</c:v>
                </c:pt>
                <c:pt idx="14">
                  <c:v>5.4</c:v>
                </c:pt>
              </c:numCache>
            </c:numRef>
          </c:val>
        </c:ser>
        <c:ser>
          <c:idx val="6"/>
          <c:order val="6"/>
          <c:tx>
            <c:strRef>
              <c:f>Sheet1!$H$1</c:f>
              <c:strCache>
                <c:ptCount val="1"/>
                <c:pt idx="0">
                  <c:v>შარდ-სასქესო</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cat>
            <c:strRef>
              <c:f>Sheet1!$A$2:$A$16</c:f>
              <c:strCache>
                <c:ptCount val="15"/>
                <c:pt idx="0">
                  <c:v>ავსტრია</c:v>
                </c:pt>
                <c:pt idx="1">
                  <c:v>ბელგია</c:v>
                </c:pt>
                <c:pt idx="2">
                  <c:v>დანია</c:v>
                </c:pt>
                <c:pt idx="3">
                  <c:v>ფინეთი</c:v>
                </c:pt>
                <c:pt idx="4">
                  <c:v>საფრანგეთი</c:v>
                </c:pt>
                <c:pt idx="5">
                  <c:v>გერმანია</c:v>
                </c:pt>
                <c:pt idx="6">
                  <c:v>საბერძნეთი</c:v>
                </c:pt>
                <c:pt idx="7">
                  <c:v>ირლანდია</c:v>
                </c:pt>
                <c:pt idx="8">
                  <c:v>იტალია</c:v>
                </c:pt>
                <c:pt idx="9">
                  <c:v>ლუქსენბურგი</c:v>
                </c:pt>
                <c:pt idx="10">
                  <c:v>ნიდერლანდი</c:v>
                </c:pt>
                <c:pt idx="11">
                  <c:v>პორტუგალია</c:v>
                </c:pt>
                <c:pt idx="12">
                  <c:v>ესპანეთი</c:v>
                </c:pt>
                <c:pt idx="13">
                  <c:v>შვედეთი</c:v>
                </c:pt>
                <c:pt idx="14">
                  <c:v>გაერთ. სამეფო</c:v>
                </c:pt>
              </c:strCache>
            </c:strRef>
          </c:cat>
          <c:val>
            <c:numRef>
              <c:f>Sheet1!$H$2:$H$16</c:f>
              <c:numCache>
                <c:formatCode>General</c:formatCode>
                <c:ptCount val="15"/>
                <c:pt idx="0">
                  <c:v>3.1</c:v>
                </c:pt>
                <c:pt idx="1">
                  <c:v>3.3</c:v>
                </c:pt>
                <c:pt idx="2">
                  <c:v>2.2000000000000002</c:v>
                </c:pt>
                <c:pt idx="3">
                  <c:v>1</c:v>
                </c:pt>
                <c:pt idx="4">
                  <c:v>2.2000000000000002</c:v>
                </c:pt>
                <c:pt idx="5">
                  <c:v>3.6</c:v>
                </c:pt>
                <c:pt idx="6">
                  <c:v>4.2</c:v>
                </c:pt>
                <c:pt idx="7">
                  <c:v>2.5</c:v>
                </c:pt>
                <c:pt idx="8">
                  <c:v>3</c:v>
                </c:pt>
                <c:pt idx="9">
                  <c:v>2.9</c:v>
                </c:pt>
                <c:pt idx="10">
                  <c:v>2.6</c:v>
                </c:pt>
                <c:pt idx="11">
                  <c:v>3.6</c:v>
                </c:pt>
                <c:pt idx="12">
                  <c:v>3.7</c:v>
                </c:pt>
                <c:pt idx="13">
                  <c:v>1.8</c:v>
                </c:pt>
                <c:pt idx="14">
                  <c:v>2</c:v>
                </c:pt>
              </c:numCache>
            </c:numRef>
          </c:val>
        </c:ser>
        <c:ser>
          <c:idx val="7"/>
          <c:order val="7"/>
          <c:tx>
            <c:strRef>
              <c:f>Sheet1!$I$1</c:f>
              <c:strCache>
                <c:ptCount val="1"/>
                <c:pt idx="0">
                  <c:v>დანარჩენი აგდ</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invertIfNegative val="0"/>
          <c:cat>
            <c:strRef>
              <c:f>Sheet1!$A$2:$A$16</c:f>
              <c:strCache>
                <c:ptCount val="15"/>
                <c:pt idx="0">
                  <c:v>ავსტრია</c:v>
                </c:pt>
                <c:pt idx="1">
                  <c:v>ბელგია</c:v>
                </c:pt>
                <c:pt idx="2">
                  <c:v>დანია</c:v>
                </c:pt>
                <c:pt idx="3">
                  <c:v>ფინეთი</c:v>
                </c:pt>
                <c:pt idx="4">
                  <c:v>საფრანგეთი</c:v>
                </c:pt>
                <c:pt idx="5">
                  <c:v>გერმანია</c:v>
                </c:pt>
                <c:pt idx="6">
                  <c:v>საბერძნეთი</c:v>
                </c:pt>
                <c:pt idx="7">
                  <c:v>ირლანდია</c:v>
                </c:pt>
                <c:pt idx="8">
                  <c:v>იტალია</c:v>
                </c:pt>
                <c:pt idx="9">
                  <c:v>ლუქსენბურგი</c:v>
                </c:pt>
                <c:pt idx="10">
                  <c:v>ნიდერლანდი</c:v>
                </c:pt>
                <c:pt idx="11">
                  <c:v>პორტუგალია</c:v>
                </c:pt>
                <c:pt idx="12">
                  <c:v>ესპანეთი</c:v>
                </c:pt>
                <c:pt idx="13">
                  <c:v>შვედეთი</c:v>
                </c:pt>
                <c:pt idx="14">
                  <c:v>გაერთ. სამეფო</c:v>
                </c:pt>
              </c:strCache>
            </c:strRef>
          </c:cat>
          <c:val>
            <c:numRef>
              <c:f>Sheet1!$I$2:$I$16</c:f>
              <c:numCache>
                <c:formatCode>General</c:formatCode>
                <c:ptCount val="15"/>
                <c:pt idx="0">
                  <c:v>4.3</c:v>
                </c:pt>
                <c:pt idx="1">
                  <c:v>5.5</c:v>
                </c:pt>
                <c:pt idx="2">
                  <c:v>5.4</c:v>
                </c:pt>
                <c:pt idx="3">
                  <c:v>4.2</c:v>
                </c:pt>
                <c:pt idx="4">
                  <c:v>5.7</c:v>
                </c:pt>
                <c:pt idx="5">
                  <c:v>4</c:v>
                </c:pt>
                <c:pt idx="6">
                  <c:v>1.7</c:v>
                </c:pt>
                <c:pt idx="7">
                  <c:v>4.7</c:v>
                </c:pt>
                <c:pt idx="8">
                  <c:v>4.2</c:v>
                </c:pt>
                <c:pt idx="9">
                  <c:v>2.8</c:v>
                </c:pt>
                <c:pt idx="10">
                  <c:v>4.3</c:v>
                </c:pt>
                <c:pt idx="11">
                  <c:v>3.7</c:v>
                </c:pt>
                <c:pt idx="12">
                  <c:v>4.5</c:v>
                </c:pt>
                <c:pt idx="13">
                  <c:v>4.5999999999999996</c:v>
                </c:pt>
                <c:pt idx="14">
                  <c:v>3.8</c:v>
                </c:pt>
              </c:numCache>
            </c:numRef>
          </c:val>
        </c:ser>
        <c:dLbls>
          <c:showLegendKey val="0"/>
          <c:showVal val="0"/>
          <c:showCatName val="0"/>
          <c:showSerName val="0"/>
          <c:showPercent val="0"/>
          <c:showBubbleSize val="0"/>
        </c:dLbls>
        <c:gapWidth val="150"/>
        <c:overlap val="100"/>
        <c:axId val="-729834656"/>
        <c:axId val="-512255232"/>
      </c:barChart>
      <c:catAx>
        <c:axId val="-72983465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1000" b="0" i="0" u="none" strike="noStrike" kern="1200" baseline="0">
                <a:solidFill>
                  <a:srgbClr val="002060"/>
                </a:solidFill>
                <a:latin typeface="+mn-lt"/>
                <a:ea typeface="+mn-ea"/>
                <a:cs typeface="+mn-cs"/>
              </a:defRPr>
            </a:pPr>
            <a:endParaRPr lang="en-US"/>
          </a:p>
        </c:txPr>
        <c:crossAx val="-512255232"/>
        <c:crosses val="autoZero"/>
        <c:auto val="0"/>
        <c:lblAlgn val="ctr"/>
        <c:lblOffset val="100"/>
        <c:noMultiLvlLbl val="0"/>
      </c:catAx>
      <c:valAx>
        <c:axId val="-51225523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n-US"/>
          </a:p>
        </c:txPr>
        <c:crossAx val="-729834656"/>
        <c:crosses val="autoZero"/>
        <c:crossBetween val="between"/>
        <c:majorUnit val="0.2"/>
      </c:valAx>
      <c:spPr>
        <a:noFill/>
        <a:ln>
          <a:noFill/>
        </a:ln>
        <a:effectLst/>
      </c:spPr>
    </c:plotArea>
    <c:legend>
      <c:legendPos val="b"/>
      <c:legendEntry>
        <c:idx val="6"/>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legendEntry>
      <c:layout>
        <c:manualLayout>
          <c:xMode val="edge"/>
          <c:yMode val="edge"/>
          <c:x val="6.1727740763173826E-2"/>
          <c:y val="0.82626694204208084"/>
          <c:w val="0.87025035332121947"/>
          <c:h val="0.17037735037218707"/>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082427196600426E-2"/>
          <c:y val="4.7107355483003641E-2"/>
          <c:w val="0.9331478945566587"/>
          <c:h val="0.4720725617262444"/>
        </c:manualLayout>
      </c:layout>
      <c:barChart>
        <c:barDir val="col"/>
        <c:grouping val="percentStacked"/>
        <c:varyColors val="0"/>
        <c:ser>
          <c:idx val="0"/>
          <c:order val="0"/>
          <c:tx>
            <c:strRef>
              <c:f>Sheet1!$B$1</c:f>
              <c:strCache>
                <c:ptCount val="1"/>
                <c:pt idx="0">
                  <c:v>გსდ</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Sheet1!$A$2:$A$14</c:f>
              <c:strCache>
                <c:ptCount val="13"/>
                <c:pt idx="0">
                  <c:v>ბულგარეთი</c:v>
                </c:pt>
                <c:pt idx="1">
                  <c:v>ხორვატია</c:v>
                </c:pt>
                <c:pt idx="2">
                  <c:v>კვიპროსი</c:v>
                </c:pt>
                <c:pt idx="3">
                  <c:v>ჩეხეთი</c:v>
                </c:pt>
                <c:pt idx="4">
                  <c:v>ესტონეთი</c:v>
                </c:pt>
                <c:pt idx="5">
                  <c:v>უნგრეთი</c:v>
                </c:pt>
                <c:pt idx="6">
                  <c:v>ლიტვა</c:v>
                </c:pt>
                <c:pt idx="7">
                  <c:v>ლატვია</c:v>
                </c:pt>
                <c:pt idx="8">
                  <c:v>მალტა</c:v>
                </c:pt>
                <c:pt idx="9">
                  <c:v>პოლონეთი</c:v>
                </c:pt>
                <c:pt idx="10">
                  <c:v>რუმინეთი</c:v>
                </c:pt>
                <c:pt idx="11">
                  <c:v>სლოვაკეთი</c:v>
                </c:pt>
                <c:pt idx="12">
                  <c:v>სლოვენია</c:v>
                </c:pt>
              </c:strCache>
            </c:strRef>
          </c:cat>
          <c:val>
            <c:numRef>
              <c:f>Sheet1!$B$2:$B$14</c:f>
              <c:numCache>
                <c:formatCode>General</c:formatCode>
                <c:ptCount val="13"/>
                <c:pt idx="0">
                  <c:v>66.900000000000006</c:v>
                </c:pt>
                <c:pt idx="1">
                  <c:v>48.5</c:v>
                </c:pt>
                <c:pt idx="2">
                  <c:v>37.299999999999997</c:v>
                </c:pt>
                <c:pt idx="3">
                  <c:v>48.8</c:v>
                </c:pt>
                <c:pt idx="4">
                  <c:v>54.9</c:v>
                </c:pt>
                <c:pt idx="5">
                  <c:v>51.6</c:v>
                </c:pt>
                <c:pt idx="6">
                  <c:v>63.2</c:v>
                </c:pt>
                <c:pt idx="7">
                  <c:v>62.4</c:v>
                </c:pt>
                <c:pt idx="8">
                  <c:v>40.6</c:v>
                </c:pt>
                <c:pt idx="9">
                  <c:v>51.4</c:v>
                </c:pt>
                <c:pt idx="10">
                  <c:v>61.2</c:v>
                </c:pt>
                <c:pt idx="11">
                  <c:v>45</c:v>
                </c:pt>
                <c:pt idx="12">
                  <c:v>45.2</c:v>
                </c:pt>
              </c:numCache>
            </c:numRef>
          </c:val>
        </c:ser>
        <c:ser>
          <c:idx val="1"/>
          <c:order val="1"/>
          <c:tx>
            <c:strRef>
              <c:f>Sheet1!$C$1</c:f>
              <c:strCache>
                <c:ptCount val="1"/>
                <c:pt idx="0">
                  <c:v>კიბო</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Sheet1!$A$2:$A$14</c:f>
              <c:strCache>
                <c:ptCount val="13"/>
                <c:pt idx="0">
                  <c:v>ბულგარეთი</c:v>
                </c:pt>
                <c:pt idx="1">
                  <c:v>ხორვატია</c:v>
                </c:pt>
                <c:pt idx="2">
                  <c:v>კვიპროსი</c:v>
                </c:pt>
                <c:pt idx="3">
                  <c:v>ჩეხეთი</c:v>
                </c:pt>
                <c:pt idx="4">
                  <c:v>ესტონეთი</c:v>
                </c:pt>
                <c:pt idx="5">
                  <c:v>უნგრეთი</c:v>
                </c:pt>
                <c:pt idx="6">
                  <c:v>ლიტვა</c:v>
                </c:pt>
                <c:pt idx="7">
                  <c:v>ლატვია</c:v>
                </c:pt>
                <c:pt idx="8">
                  <c:v>მალტა</c:v>
                </c:pt>
                <c:pt idx="9">
                  <c:v>პოლონეთი</c:v>
                </c:pt>
                <c:pt idx="10">
                  <c:v>რუმინეთი</c:v>
                </c:pt>
                <c:pt idx="11">
                  <c:v>სლოვაკეთი</c:v>
                </c:pt>
                <c:pt idx="12">
                  <c:v>სლოვენია</c:v>
                </c:pt>
              </c:strCache>
            </c:strRef>
          </c:cat>
          <c:val>
            <c:numRef>
              <c:f>Sheet1!$C$2:$C$14</c:f>
              <c:numCache>
                <c:formatCode>General</c:formatCode>
                <c:ptCount val="13"/>
                <c:pt idx="0">
                  <c:v>19.2</c:v>
                </c:pt>
                <c:pt idx="1">
                  <c:v>29.8</c:v>
                </c:pt>
                <c:pt idx="2">
                  <c:v>25.3</c:v>
                </c:pt>
                <c:pt idx="3">
                  <c:v>28.6</c:v>
                </c:pt>
                <c:pt idx="4">
                  <c:v>28.2</c:v>
                </c:pt>
                <c:pt idx="5">
                  <c:v>27.7</c:v>
                </c:pt>
                <c:pt idx="6">
                  <c:v>22.3</c:v>
                </c:pt>
                <c:pt idx="7">
                  <c:v>23.1</c:v>
                </c:pt>
                <c:pt idx="8">
                  <c:v>28.1</c:v>
                </c:pt>
                <c:pt idx="9">
                  <c:v>30.2</c:v>
                </c:pt>
                <c:pt idx="10">
                  <c:v>22</c:v>
                </c:pt>
                <c:pt idx="11">
                  <c:v>32.200000000000003</c:v>
                </c:pt>
                <c:pt idx="12">
                  <c:v>35.6</c:v>
                </c:pt>
              </c:numCache>
            </c:numRef>
          </c:val>
        </c:ser>
        <c:ser>
          <c:idx val="2"/>
          <c:order val="2"/>
          <c:tx>
            <c:strRef>
              <c:f>Sheet1!$D$1</c:f>
              <c:strCache>
                <c:ptCount val="1"/>
                <c:pt idx="0">
                  <c:v>დიაბეტი</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Sheet1!$A$2:$A$14</c:f>
              <c:strCache>
                <c:ptCount val="13"/>
                <c:pt idx="0">
                  <c:v>ბულგარეთი</c:v>
                </c:pt>
                <c:pt idx="1">
                  <c:v>ხორვატია</c:v>
                </c:pt>
                <c:pt idx="2">
                  <c:v>კვიპროსი</c:v>
                </c:pt>
                <c:pt idx="3">
                  <c:v>ჩეხეთი</c:v>
                </c:pt>
                <c:pt idx="4">
                  <c:v>ესტონეთი</c:v>
                </c:pt>
                <c:pt idx="5">
                  <c:v>უნგრეთი</c:v>
                </c:pt>
                <c:pt idx="6">
                  <c:v>ლიტვა</c:v>
                </c:pt>
                <c:pt idx="7">
                  <c:v>ლატვია</c:v>
                </c:pt>
                <c:pt idx="8">
                  <c:v>მალტა</c:v>
                </c:pt>
                <c:pt idx="9">
                  <c:v>პოლონეთი</c:v>
                </c:pt>
                <c:pt idx="10">
                  <c:v>რუმინეთი</c:v>
                </c:pt>
                <c:pt idx="11">
                  <c:v>სლოვაკეთი</c:v>
                </c:pt>
                <c:pt idx="12">
                  <c:v>სლოვენია</c:v>
                </c:pt>
              </c:strCache>
            </c:strRef>
          </c:cat>
          <c:val>
            <c:numRef>
              <c:f>Sheet1!$D$2:$D$14</c:f>
              <c:numCache>
                <c:formatCode>General</c:formatCode>
                <c:ptCount val="13"/>
                <c:pt idx="0">
                  <c:v>1.6</c:v>
                </c:pt>
                <c:pt idx="1">
                  <c:v>4</c:v>
                </c:pt>
                <c:pt idx="2">
                  <c:v>8</c:v>
                </c:pt>
                <c:pt idx="3">
                  <c:v>3.9</c:v>
                </c:pt>
                <c:pt idx="4">
                  <c:v>1.4</c:v>
                </c:pt>
                <c:pt idx="5">
                  <c:v>2.2999999999999998</c:v>
                </c:pt>
                <c:pt idx="6">
                  <c:v>0.8</c:v>
                </c:pt>
                <c:pt idx="7">
                  <c:v>2</c:v>
                </c:pt>
                <c:pt idx="8">
                  <c:v>3.1</c:v>
                </c:pt>
                <c:pt idx="9">
                  <c:v>2.5</c:v>
                </c:pt>
                <c:pt idx="10">
                  <c:v>1.1000000000000001</c:v>
                </c:pt>
                <c:pt idx="11">
                  <c:v>2</c:v>
                </c:pt>
                <c:pt idx="12">
                  <c:v>1.7</c:v>
                </c:pt>
              </c:numCache>
            </c:numRef>
          </c:val>
        </c:ser>
        <c:ser>
          <c:idx val="3"/>
          <c:order val="3"/>
          <c:tx>
            <c:strRef>
              <c:f>Sheet1!$E$1</c:f>
              <c:strCache>
                <c:ptCount val="1"/>
                <c:pt idx="0">
                  <c:v>ქრდ</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Sheet1!$A$2:$A$14</c:f>
              <c:strCache>
                <c:ptCount val="13"/>
                <c:pt idx="0">
                  <c:v>ბულგარეთი</c:v>
                </c:pt>
                <c:pt idx="1">
                  <c:v>ხორვატია</c:v>
                </c:pt>
                <c:pt idx="2">
                  <c:v>კვიპროსი</c:v>
                </c:pt>
                <c:pt idx="3">
                  <c:v>ჩეხეთი</c:v>
                </c:pt>
                <c:pt idx="4">
                  <c:v>ესტონეთი</c:v>
                </c:pt>
                <c:pt idx="5">
                  <c:v>უნგრეთი</c:v>
                </c:pt>
                <c:pt idx="6">
                  <c:v>ლიტვა</c:v>
                </c:pt>
                <c:pt idx="7">
                  <c:v>ლატვია</c:v>
                </c:pt>
                <c:pt idx="8">
                  <c:v>მალტა</c:v>
                </c:pt>
                <c:pt idx="9">
                  <c:v>პოლონეთი</c:v>
                </c:pt>
                <c:pt idx="10">
                  <c:v>რუმინეთი</c:v>
                </c:pt>
                <c:pt idx="11">
                  <c:v>სლოვაკეთი</c:v>
                </c:pt>
                <c:pt idx="12">
                  <c:v>სლოვენია</c:v>
                </c:pt>
              </c:strCache>
            </c:strRef>
          </c:cat>
          <c:val>
            <c:numRef>
              <c:f>Sheet1!$E$2:$E$14</c:f>
              <c:numCache>
                <c:formatCode>General</c:formatCode>
                <c:ptCount val="13"/>
                <c:pt idx="0">
                  <c:v>4.5</c:v>
                </c:pt>
                <c:pt idx="1">
                  <c:v>4.2</c:v>
                </c:pt>
                <c:pt idx="2">
                  <c:v>9.3000000000000007</c:v>
                </c:pt>
                <c:pt idx="3">
                  <c:v>4.9000000000000004</c:v>
                </c:pt>
                <c:pt idx="4">
                  <c:v>2.1</c:v>
                </c:pt>
                <c:pt idx="5">
                  <c:v>5.5</c:v>
                </c:pt>
                <c:pt idx="6">
                  <c:v>1.9</c:v>
                </c:pt>
                <c:pt idx="7">
                  <c:v>1.6</c:v>
                </c:pt>
                <c:pt idx="8">
                  <c:v>6.3</c:v>
                </c:pt>
                <c:pt idx="9">
                  <c:v>5</c:v>
                </c:pt>
                <c:pt idx="10">
                  <c:v>3.9</c:v>
                </c:pt>
                <c:pt idx="11">
                  <c:v>2.9</c:v>
                </c:pt>
                <c:pt idx="12">
                  <c:v>4</c:v>
                </c:pt>
              </c:numCache>
            </c:numRef>
          </c:val>
        </c:ser>
        <c:ser>
          <c:idx val="4"/>
          <c:order val="4"/>
          <c:tx>
            <c:strRef>
              <c:f>Sheet1!$F$1</c:f>
              <c:strCache>
                <c:ptCount val="1"/>
                <c:pt idx="0">
                  <c:v>ნერვული</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strRef>
              <c:f>Sheet1!$A$2:$A$14</c:f>
              <c:strCache>
                <c:ptCount val="13"/>
                <c:pt idx="0">
                  <c:v>ბულგარეთი</c:v>
                </c:pt>
                <c:pt idx="1">
                  <c:v>ხორვატია</c:v>
                </c:pt>
                <c:pt idx="2">
                  <c:v>კვიპროსი</c:v>
                </c:pt>
                <c:pt idx="3">
                  <c:v>ჩეხეთი</c:v>
                </c:pt>
                <c:pt idx="4">
                  <c:v>ესტონეთი</c:v>
                </c:pt>
                <c:pt idx="5">
                  <c:v>უნგრეთი</c:v>
                </c:pt>
                <c:pt idx="6">
                  <c:v>ლიტვა</c:v>
                </c:pt>
                <c:pt idx="7">
                  <c:v>ლატვია</c:v>
                </c:pt>
                <c:pt idx="8">
                  <c:v>მალტა</c:v>
                </c:pt>
                <c:pt idx="9">
                  <c:v>პოლონეთი</c:v>
                </c:pt>
                <c:pt idx="10">
                  <c:v>რუმინეთი</c:v>
                </c:pt>
                <c:pt idx="11">
                  <c:v>სლოვაკეთი</c:v>
                </c:pt>
                <c:pt idx="12">
                  <c:v>სლოვენია</c:v>
                </c:pt>
              </c:strCache>
            </c:strRef>
          </c:cat>
          <c:val>
            <c:numRef>
              <c:f>Sheet1!$F$2:$F$14</c:f>
              <c:numCache>
                <c:formatCode>General</c:formatCode>
                <c:ptCount val="13"/>
                <c:pt idx="0">
                  <c:v>1.1000000000000001</c:v>
                </c:pt>
                <c:pt idx="1">
                  <c:v>4</c:v>
                </c:pt>
                <c:pt idx="2">
                  <c:v>6.7</c:v>
                </c:pt>
                <c:pt idx="3">
                  <c:v>4.5</c:v>
                </c:pt>
                <c:pt idx="4">
                  <c:v>2.1</c:v>
                </c:pt>
                <c:pt idx="5">
                  <c:v>3.9</c:v>
                </c:pt>
                <c:pt idx="6">
                  <c:v>1.9</c:v>
                </c:pt>
                <c:pt idx="7">
                  <c:v>2</c:v>
                </c:pt>
                <c:pt idx="8">
                  <c:v>6.3</c:v>
                </c:pt>
                <c:pt idx="9">
                  <c:v>1.7</c:v>
                </c:pt>
                <c:pt idx="10">
                  <c:v>1.6</c:v>
                </c:pt>
                <c:pt idx="11">
                  <c:v>6.6</c:v>
                </c:pt>
                <c:pt idx="12">
                  <c:v>2.2999999999999998</c:v>
                </c:pt>
              </c:numCache>
            </c:numRef>
          </c:val>
        </c:ser>
        <c:ser>
          <c:idx val="5"/>
          <c:order val="5"/>
          <c:tx>
            <c:strRef>
              <c:f>Sheet1!$G$1</c:f>
              <c:strCache>
                <c:ptCount val="1"/>
                <c:pt idx="0">
                  <c:v>საჭმლის მომნელებელი</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strRef>
              <c:f>Sheet1!$A$2:$A$14</c:f>
              <c:strCache>
                <c:ptCount val="13"/>
                <c:pt idx="0">
                  <c:v>ბულგარეთი</c:v>
                </c:pt>
                <c:pt idx="1">
                  <c:v>ხორვატია</c:v>
                </c:pt>
                <c:pt idx="2">
                  <c:v>კვიპროსი</c:v>
                </c:pt>
                <c:pt idx="3">
                  <c:v>ჩეხეთი</c:v>
                </c:pt>
                <c:pt idx="4">
                  <c:v>ესტონეთი</c:v>
                </c:pt>
                <c:pt idx="5">
                  <c:v>უნგრეთი</c:v>
                </c:pt>
                <c:pt idx="6">
                  <c:v>ლიტვა</c:v>
                </c:pt>
                <c:pt idx="7">
                  <c:v>ლატვია</c:v>
                </c:pt>
                <c:pt idx="8">
                  <c:v>მალტა</c:v>
                </c:pt>
                <c:pt idx="9">
                  <c:v>პოლონეთი</c:v>
                </c:pt>
                <c:pt idx="10">
                  <c:v>რუმინეთი</c:v>
                </c:pt>
                <c:pt idx="11">
                  <c:v>სლოვაკეთი</c:v>
                </c:pt>
                <c:pt idx="12">
                  <c:v>სლოვენია</c:v>
                </c:pt>
              </c:strCache>
            </c:strRef>
          </c:cat>
          <c:val>
            <c:numRef>
              <c:f>Sheet1!$G$2:$G$14</c:f>
              <c:numCache>
                <c:formatCode>General</c:formatCode>
                <c:ptCount val="13"/>
                <c:pt idx="0">
                  <c:v>3.8</c:v>
                </c:pt>
                <c:pt idx="1">
                  <c:v>4.4000000000000004</c:v>
                </c:pt>
                <c:pt idx="2">
                  <c:v>4</c:v>
                </c:pt>
                <c:pt idx="3">
                  <c:v>4.7</c:v>
                </c:pt>
                <c:pt idx="4">
                  <c:v>4.2</c:v>
                </c:pt>
                <c:pt idx="5">
                  <c:v>5.3</c:v>
                </c:pt>
                <c:pt idx="6">
                  <c:v>6</c:v>
                </c:pt>
                <c:pt idx="7">
                  <c:v>4.3</c:v>
                </c:pt>
                <c:pt idx="8">
                  <c:v>3.1</c:v>
                </c:pt>
                <c:pt idx="9">
                  <c:v>4.7</c:v>
                </c:pt>
                <c:pt idx="10">
                  <c:v>6.2</c:v>
                </c:pt>
                <c:pt idx="11">
                  <c:v>7</c:v>
                </c:pt>
                <c:pt idx="12">
                  <c:v>6.2</c:v>
                </c:pt>
              </c:numCache>
            </c:numRef>
          </c:val>
        </c:ser>
        <c:ser>
          <c:idx val="6"/>
          <c:order val="6"/>
          <c:tx>
            <c:strRef>
              <c:f>Sheet1!$H$1</c:f>
              <c:strCache>
                <c:ptCount val="1"/>
                <c:pt idx="0">
                  <c:v>შარდ-სასქესო</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cat>
            <c:strRef>
              <c:f>Sheet1!$A$2:$A$14</c:f>
              <c:strCache>
                <c:ptCount val="13"/>
                <c:pt idx="0">
                  <c:v>ბულგარეთი</c:v>
                </c:pt>
                <c:pt idx="1">
                  <c:v>ხორვატია</c:v>
                </c:pt>
                <c:pt idx="2">
                  <c:v>კვიპროსი</c:v>
                </c:pt>
                <c:pt idx="3">
                  <c:v>ჩეხეთი</c:v>
                </c:pt>
                <c:pt idx="4">
                  <c:v>ესტონეთი</c:v>
                </c:pt>
                <c:pt idx="5">
                  <c:v>უნგრეთი</c:v>
                </c:pt>
                <c:pt idx="6">
                  <c:v>ლიტვა</c:v>
                </c:pt>
                <c:pt idx="7">
                  <c:v>ლატვია</c:v>
                </c:pt>
                <c:pt idx="8">
                  <c:v>მალტა</c:v>
                </c:pt>
                <c:pt idx="9">
                  <c:v>პოლონეთი</c:v>
                </c:pt>
                <c:pt idx="10">
                  <c:v>რუმინეთი</c:v>
                </c:pt>
                <c:pt idx="11">
                  <c:v>სლოვაკეთი</c:v>
                </c:pt>
                <c:pt idx="12">
                  <c:v>სლოვენია</c:v>
                </c:pt>
              </c:strCache>
            </c:strRef>
          </c:cat>
          <c:val>
            <c:numRef>
              <c:f>Sheet1!$H$2:$H$14</c:f>
              <c:numCache>
                <c:formatCode>General</c:formatCode>
                <c:ptCount val="13"/>
                <c:pt idx="0">
                  <c:v>2.1</c:v>
                </c:pt>
                <c:pt idx="1">
                  <c:v>2.9</c:v>
                </c:pt>
                <c:pt idx="2">
                  <c:v>4</c:v>
                </c:pt>
                <c:pt idx="3">
                  <c:v>2</c:v>
                </c:pt>
                <c:pt idx="4">
                  <c:v>2.8</c:v>
                </c:pt>
                <c:pt idx="5">
                  <c:v>1.5</c:v>
                </c:pt>
                <c:pt idx="6">
                  <c:v>1.4</c:v>
                </c:pt>
                <c:pt idx="7">
                  <c:v>2</c:v>
                </c:pt>
                <c:pt idx="8">
                  <c:v>3.1</c:v>
                </c:pt>
                <c:pt idx="9">
                  <c:v>1</c:v>
                </c:pt>
                <c:pt idx="10">
                  <c:v>2.8</c:v>
                </c:pt>
                <c:pt idx="11">
                  <c:v>2</c:v>
                </c:pt>
                <c:pt idx="12">
                  <c:v>2.2999999999999998</c:v>
                </c:pt>
              </c:numCache>
            </c:numRef>
          </c:val>
        </c:ser>
        <c:ser>
          <c:idx val="7"/>
          <c:order val="7"/>
          <c:tx>
            <c:strRef>
              <c:f>Sheet1!$I$1</c:f>
              <c:strCache>
                <c:ptCount val="1"/>
                <c:pt idx="0">
                  <c:v>დანარჩენი აგდ</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invertIfNegative val="0"/>
          <c:cat>
            <c:strRef>
              <c:f>Sheet1!$A$2:$A$14</c:f>
              <c:strCache>
                <c:ptCount val="13"/>
                <c:pt idx="0">
                  <c:v>ბულგარეთი</c:v>
                </c:pt>
                <c:pt idx="1">
                  <c:v>ხორვატია</c:v>
                </c:pt>
                <c:pt idx="2">
                  <c:v>კვიპროსი</c:v>
                </c:pt>
                <c:pt idx="3">
                  <c:v>ჩეხეთი</c:v>
                </c:pt>
                <c:pt idx="4">
                  <c:v>ესტონეთი</c:v>
                </c:pt>
                <c:pt idx="5">
                  <c:v>უნგრეთი</c:v>
                </c:pt>
                <c:pt idx="6">
                  <c:v>ლიტვა</c:v>
                </c:pt>
                <c:pt idx="7">
                  <c:v>ლატვია</c:v>
                </c:pt>
                <c:pt idx="8">
                  <c:v>მალტა</c:v>
                </c:pt>
                <c:pt idx="9">
                  <c:v>პოლონეთი</c:v>
                </c:pt>
                <c:pt idx="10">
                  <c:v>რუმინეთი</c:v>
                </c:pt>
                <c:pt idx="11">
                  <c:v>სლოვაკეთი</c:v>
                </c:pt>
                <c:pt idx="12">
                  <c:v>სლოვენია</c:v>
                </c:pt>
              </c:strCache>
            </c:strRef>
          </c:cat>
          <c:val>
            <c:numRef>
              <c:f>Sheet1!$I$2:$I$14</c:f>
              <c:numCache>
                <c:formatCode>General</c:formatCode>
                <c:ptCount val="13"/>
                <c:pt idx="0">
                  <c:v>0.8</c:v>
                </c:pt>
                <c:pt idx="1">
                  <c:v>2.2000000000000002</c:v>
                </c:pt>
                <c:pt idx="2">
                  <c:v>5.4</c:v>
                </c:pt>
                <c:pt idx="3">
                  <c:v>2.6</c:v>
                </c:pt>
                <c:pt idx="4">
                  <c:v>3.3</c:v>
                </c:pt>
                <c:pt idx="5">
                  <c:v>2.2000000000000002</c:v>
                </c:pt>
                <c:pt idx="6">
                  <c:v>2.5</c:v>
                </c:pt>
                <c:pt idx="7">
                  <c:v>2.6</c:v>
                </c:pt>
                <c:pt idx="8">
                  <c:v>9.4</c:v>
                </c:pt>
                <c:pt idx="9">
                  <c:v>3.5</c:v>
                </c:pt>
                <c:pt idx="10">
                  <c:v>1.2</c:v>
                </c:pt>
                <c:pt idx="11">
                  <c:v>5.2</c:v>
                </c:pt>
                <c:pt idx="12">
                  <c:v>2.7</c:v>
                </c:pt>
              </c:numCache>
            </c:numRef>
          </c:val>
        </c:ser>
        <c:dLbls>
          <c:showLegendKey val="0"/>
          <c:showVal val="0"/>
          <c:showCatName val="0"/>
          <c:showSerName val="0"/>
          <c:showPercent val="0"/>
          <c:showBubbleSize val="0"/>
        </c:dLbls>
        <c:gapWidth val="150"/>
        <c:overlap val="100"/>
        <c:axId val="-512251424"/>
        <c:axId val="-512252512"/>
      </c:barChart>
      <c:catAx>
        <c:axId val="-5122514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1000" b="0" i="0" u="none" strike="noStrike" kern="1200" baseline="0">
                <a:solidFill>
                  <a:srgbClr val="002060"/>
                </a:solidFill>
                <a:latin typeface="+mn-lt"/>
                <a:ea typeface="+mn-ea"/>
                <a:cs typeface="+mn-cs"/>
              </a:defRPr>
            </a:pPr>
            <a:endParaRPr lang="en-US"/>
          </a:p>
        </c:txPr>
        <c:crossAx val="-512252512"/>
        <c:crosses val="autoZero"/>
        <c:auto val="0"/>
        <c:lblAlgn val="ctr"/>
        <c:lblOffset val="100"/>
        <c:noMultiLvlLbl val="0"/>
      </c:catAx>
      <c:valAx>
        <c:axId val="-51225251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n-US"/>
          </a:p>
        </c:txPr>
        <c:crossAx val="-512251424"/>
        <c:crosses val="autoZero"/>
        <c:crossBetween val="between"/>
        <c:majorUnit val="0.2"/>
      </c:valAx>
      <c:spPr>
        <a:noFill/>
        <a:ln>
          <a:noFill/>
        </a:ln>
        <a:effectLst/>
      </c:spPr>
    </c:plotArea>
    <c:legend>
      <c:legendPos val="b"/>
      <c:legendEntry>
        <c:idx val="2"/>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legendEntry>
      <c:layout>
        <c:manualLayout>
          <c:xMode val="edge"/>
          <c:yMode val="edge"/>
          <c:x val="9.08409579643666E-2"/>
          <c:y val="0.79491556918217077"/>
          <c:w val="0.87585770528683915"/>
          <c:h val="0.20508443081782918"/>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852133396870059E-2"/>
          <c:y val="5.0598212795654879E-2"/>
          <c:w val="0.9331478945566587"/>
          <c:h val="0.52103265091863515"/>
        </c:manualLayout>
      </c:layout>
      <c:barChart>
        <c:barDir val="col"/>
        <c:grouping val="percentStacked"/>
        <c:varyColors val="0"/>
        <c:ser>
          <c:idx val="0"/>
          <c:order val="0"/>
          <c:tx>
            <c:strRef>
              <c:f>Sheet1!$B$1</c:f>
              <c:strCache>
                <c:ptCount val="1"/>
                <c:pt idx="0">
                  <c:v>გსდ</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Sheet1!$A$2:$A$9</c:f>
              <c:strCache>
                <c:ptCount val="8"/>
                <c:pt idx="0">
                  <c:v>კანადა</c:v>
                </c:pt>
                <c:pt idx="1">
                  <c:v>აშშ</c:v>
                </c:pt>
                <c:pt idx="2">
                  <c:v>მექსიკა</c:v>
                </c:pt>
                <c:pt idx="3">
                  <c:v>ბაჰამი</c:v>
                </c:pt>
                <c:pt idx="4">
                  <c:v>ბელიზი</c:v>
                </c:pt>
                <c:pt idx="5">
                  <c:v>კუბა</c:v>
                </c:pt>
                <c:pt idx="6">
                  <c:v>გვატემალა</c:v>
                </c:pt>
                <c:pt idx="7">
                  <c:v>ჰაიტი</c:v>
                </c:pt>
              </c:strCache>
            </c:strRef>
          </c:cat>
          <c:val>
            <c:numRef>
              <c:f>Sheet1!$B$2:$B$9</c:f>
              <c:numCache>
                <c:formatCode>General</c:formatCode>
                <c:ptCount val="8"/>
                <c:pt idx="0">
                  <c:v>28.2</c:v>
                </c:pt>
                <c:pt idx="1">
                  <c:v>33.799999999999997</c:v>
                </c:pt>
                <c:pt idx="2">
                  <c:v>30.5</c:v>
                </c:pt>
                <c:pt idx="3">
                  <c:v>38.9</c:v>
                </c:pt>
                <c:pt idx="4">
                  <c:v>35.700000000000003</c:v>
                </c:pt>
                <c:pt idx="5">
                  <c:v>42.6</c:v>
                </c:pt>
                <c:pt idx="6">
                  <c:v>29.1</c:v>
                </c:pt>
                <c:pt idx="7">
                  <c:v>50.5</c:v>
                </c:pt>
              </c:numCache>
            </c:numRef>
          </c:val>
        </c:ser>
        <c:ser>
          <c:idx val="1"/>
          <c:order val="1"/>
          <c:tx>
            <c:strRef>
              <c:f>Sheet1!$C$1</c:f>
              <c:strCache>
                <c:ptCount val="1"/>
                <c:pt idx="0">
                  <c:v>კიბო</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Sheet1!$A$2:$A$9</c:f>
              <c:strCache>
                <c:ptCount val="8"/>
                <c:pt idx="0">
                  <c:v>კანადა</c:v>
                </c:pt>
                <c:pt idx="1">
                  <c:v>აშშ</c:v>
                </c:pt>
                <c:pt idx="2">
                  <c:v>მექსიკა</c:v>
                </c:pt>
                <c:pt idx="3">
                  <c:v>ბაჰამი</c:v>
                </c:pt>
                <c:pt idx="4">
                  <c:v>ბელიზი</c:v>
                </c:pt>
                <c:pt idx="5">
                  <c:v>კუბა</c:v>
                </c:pt>
                <c:pt idx="6">
                  <c:v>გვატემალა</c:v>
                </c:pt>
                <c:pt idx="7">
                  <c:v>ჰაიტი</c:v>
                </c:pt>
              </c:strCache>
            </c:strRef>
          </c:cat>
          <c:val>
            <c:numRef>
              <c:f>Sheet1!$C$2:$C$9</c:f>
              <c:numCache>
                <c:formatCode>General</c:formatCode>
                <c:ptCount val="8"/>
                <c:pt idx="0">
                  <c:v>34.6</c:v>
                </c:pt>
                <c:pt idx="1">
                  <c:v>25.4</c:v>
                </c:pt>
                <c:pt idx="2">
                  <c:v>15.4</c:v>
                </c:pt>
                <c:pt idx="3">
                  <c:v>27.8</c:v>
                </c:pt>
                <c:pt idx="4">
                  <c:v>21.4</c:v>
                </c:pt>
                <c:pt idx="5">
                  <c:v>29.7</c:v>
                </c:pt>
                <c:pt idx="6">
                  <c:v>16.8</c:v>
                </c:pt>
                <c:pt idx="7">
                  <c:v>12.9</c:v>
                </c:pt>
              </c:numCache>
            </c:numRef>
          </c:val>
        </c:ser>
        <c:ser>
          <c:idx val="2"/>
          <c:order val="2"/>
          <c:tx>
            <c:strRef>
              <c:f>Sheet1!$D$1</c:f>
              <c:strCache>
                <c:ptCount val="1"/>
                <c:pt idx="0">
                  <c:v>დიაბეტი</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Sheet1!$A$2:$A$9</c:f>
              <c:strCache>
                <c:ptCount val="8"/>
                <c:pt idx="0">
                  <c:v>კანადა</c:v>
                </c:pt>
                <c:pt idx="1">
                  <c:v>აშშ</c:v>
                </c:pt>
                <c:pt idx="2">
                  <c:v>მექსიკა</c:v>
                </c:pt>
                <c:pt idx="3">
                  <c:v>ბაჰამი</c:v>
                </c:pt>
                <c:pt idx="4">
                  <c:v>ბელიზი</c:v>
                </c:pt>
                <c:pt idx="5">
                  <c:v>კუბა</c:v>
                </c:pt>
                <c:pt idx="6">
                  <c:v>გვატემალა</c:v>
                </c:pt>
                <c:pt idx="7">
                  <c:v>ჰაიტი</c:v>
                </c:pt>
              </c:strCache>
            </c:strRef>
          </c:cat>
          <c:val>
            <c:numRef>
              <c:f>Sheet1!$D$2:$D$9</c:f>
              <c:numCache>
                <c:formatCode>General</c:formatCode>
                <c:ptCount val="8"/>
                <c:pt idx="0">
                  <c:v>3.1</c:v>
                </c:pt>
                <c:pt idx="1">
                  <c:v>3.4</c:v>
                </c:pt>
                <c:pt idx="2">
                  <c:v>19.100000000000001</c:v>
                </c:pt>
                <c:pt idx="3">
                  <c:v>5.6</c:v>
                </c:pt>
                <c:pt idx="4">
                  <c:v>14.3</c:v>
                </c:pt>
                <c:pt idx="5">
                  <c:v>2.9</c:v>
                </c:pt>
                <c:pt idx="6">
                  <c:v>13.9</c:v>
                </c:pt>
                <c:pt idx="7">
                  <c:v>7.6</c:v>
                </c:pt>
              </c:numCache>
            </c:numRef>
          </c:val>
        </c:ser>
        <c:ser>
          <c:idx val="3"/>
          <c:order val="3"/>
          <c:tx>
            <c:strRef>
              <c:f>Sheet1!$E$1</c:f>
              <c:strCache>
                <c:ptCount val="1"/>
                <c:pt idx="0">
                  <c:v>ქრდ</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Sheet1!$A$2:$A$9</c:f>
              <c:strCache>
                <c:ptCount val="8"/>
                <c:pt idx="0">
                  <c:v>კანადა</c:v>
                </c:pt>
                <c:pt idx="1">
                  <c:v>აშშ</c:v>
                </c:pt>
                <c:pt idx="2">
                  <c:v>მექსიკა</c:v>
                </c:pt>
                <c:pt idx="3">
                  <c:v>ბაჰამი</c:v>
                </c:pt>
                <c:pt idx="4">
                  <c:v>ბელიზი</c:v>
                </c:pt>
                <c:pt idx="5">
                  <c:v>კუბა</c:v>
                </c:pt>
                <c:pt idx="6">
                  <c:v>გვატემალა</c:v>
                </c:pt>
                <c:pt idx="7">
                  <c:v>ჰაიტი</c:v>
                </c:pt>
              </c:strCache>
            </c:strRef>
          </c:cat>
          <c:val>
            <c:numRef>
              <c:f>Sheet1!$E$2:$E$9</c:f>
              <c:numCache>
                <c:formatCode>General</c:formatCode>
                <c:ptCount val="8"/>
                <c:pt idx="0">
                  <c:v>8.1999999999999993</c:v>
                </c:pt>
                <c:pt idx="1">
                  <c:v>10</c:v>
                </c:pt>
                <c:pt idx="2">
                  <c:v>7</c:v>
                </c:pt>
                <c:pt idx="3">
                  <c:v>0</c:v>
                </c:pt>
                <c:pt idx="4">
                  <c:v>7.1</c:v>
                </c:pt>
                <c:pt idx="5">
                  <c:v>6.8</c:v>
                </c:pt>
                <c:pt idx="6">
                  <c:v>5.9</c:v>
                </c:pt>
                <c:pt idx="7">
                  <c:v>5.9</c:v>
                </c:pt>
              </c:numCache>
            </c:numRef>
          </c:val>
        </c:ser>
        <c:ser>
          <c:idx val="4"/>
          <c:order val="4"/>
          <c:tx>
            <c:strRef>
              <c:f>Sheet1!$F$1</c:f>
              <c:strCache>
                <c:ptCount val="1"/>
                <c:pt idx="0">
                  <c:v>ნერვული</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strRef>
              <c:f>Sheet1!$A$2:$A$9</c:f>
              <c:strCache>
                <c:ptCount val="8"/>
                <c:pt idx="0">
                  <c:v>კანადა</c:v>
                </c:pt>
                <c:pt idx="1">
                  <c:v>აშშ</c:v>
                </c:pt>
                <c:pt idx="2">
                  <c:v>მექსიკა</c:v>
                </c:pt>
                <c:pt idx="3">
                  <c:v>ბაჰამი</c:v>
                </c:pt>
                <c:pt idx="4">
                  <c:v>ბელიზი</c:v>
                </c:pt>
                <c:pt idx="5">
                  <c:v>კუბა</c:v>
                </c:pt>
                <c:pt idx="6">
                  <c:v>გვატემალა</c:v>
                </c:pt>
                <c:pt idx="7">
                  <c:v>ჰაიტი</c:v>
                </c:pt>
              </c:strCache>
            </c:strRef>
          </c:cat>
          <c:val>
            <c:numRef>
              <c:f>Sheet1!$F$2:$F$9</c:f>
              <c:numCache>
                <c:formatCode>General</c:formatCode>
                <c:ptCount val="8"/>
                <c:pt idx="0">
                  <c:v>14.1</c:v>
                </c:pt>
                <c:pt idx="1">
                  <c:v>13.3</c:v>
                </c:pt>
                <c:pt idx="2">
                  <c:v>2.2000000000000002</c:v>
                </c:pt>
                <c:pt idx="3">
                  <c:v>5.6</c:v>
                </c:pt>
                <c:pt idx="4">
                  <c:v>7.1</c:v>
                </c:pt>
                <c:pt idx="5">
                  <c:v>7.9</c:v>
                </c:pt>
                <c:pt idx="6">
                  <c:v>2.5</c:v>
                </c:pt>
                <c:pt idx="7">
                  <c:v>3.4</c:v>
                </c:pt>
              </c:numCache>
            </c:numRef>
          </c:val>
        </c:ser>
        <c:ser>
          <c:idx val="5"/>
          <c:order val="5"/>
          <c:tx>
            <c:strRef>
              <c:f>Sheet1!$G$1</c:f>
              <c:strCache>
                <c:ptCount val="1"/>
                <c:pt idx="0">
                  <c:v>საჭმლის მომნელებელი</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strRef>
              <c:f>Sheet1!$A$2:$A$9</c:f>
              <c:strCache>
                <c:ptCount val="8"/>
                <c:pt idx="0">
                  <c:v>კანადა</c:v>
                </c:pt>
                <c:pt idx="1">
                  <c:v>აშშ</c:v>
                </c:pt>
                <c:pt idx="2">
                  <c:v>მექსიკა</c:v>
                </c:pt>
                <c:pt idx="3">
                  <c:v>ბაჰამი</c:v>
                </c:pt>
                <c:pt idx="4">
                  <c:v>ბელიზი</c:v>
                </c:pt>
                <c:pt idx="5">
                  <c:v>კუბა</c:v>
                </c:pt>
                <c:pt idx="6">
                  <c:v>გვატემალა</c:v>
                </c:pt>
                <c:pt idx="7">
                  <c:v>ჰაიტი</c:v>
                </c:pt>
              </c:strCache>
            </c:strRef>
          </c:cat>
          <c:val>
            <c:numRef>
              <c:f>Sheet1!$G$2:$G$9</c:f>
              <c:numCache>
                <c:formatCode>General</c:formatCode>
                <c:ptCount val="8"/>
                <c:pt idx="0">
                  <c:v>4.8</c:v>
                </c:pt>
                <c:pt idx="1">
                  <c:v>4.8</c:v>
                </c:pt>
                <c:pt idx="2">
                  <c:v>12.1</c:v>
                </c:pt>
                <c:pt idx="3">
                  <c:v>5.6</c:v>
                </c:pt>
                <c:pt idx="4">
                  <c:v>7.1</c:v>
                </c:pt>
                <c:pt idx="5">
                  <c:v>4.9000000000000004</c:v>
                </c:pt>
                <c:pt idx="6">
                  <c:v>13.3</c:v>
                </c:pt>
                <c:pt idx="7">
                  <c:v>7.6</c:v>
                </c:pt>
              </c:numCache>
            </c:numRef>
          </c:val>
        </c:ser>
        <c:ser>
          <c:idx val="6"/>
          <c:order val="6"/>
          <c:tx>
            <c:strRef>
              <c:f>Sheet1!$H$1</c:f>
              <c:strCache>
                <c:ptCount val="1"/>
                <c:pt idx="0">
                  <c:v>შარდ-სასქესო</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cat>
            <c:strRef>
              <c:f>Sheet1!$A$2:$A$9</c:f>
              <c:strCache>
                <c:ptCount val="8"/>
                <c:pt idx="0">
                  <c:v>კანადა</c:v>
                </c:pt>
                <c:pt idx="1">
                  <c:v>აშშ</c:v>
                </c:pt>
                <c:pt idx="2">
                  <c:v>მექსიკა</c:v>
                </c:pt>
                <c:pt idx="3">
                  <c:v>ბაჰამი</c:v>
                </c:pt>
                <c:pt idx="4">
                  <c:v>ბელიზი</c:v>
                </c:pt>
                <c:pt idx="5">
                  <c:v>კუბა</c:v>
                </c:pt>
                <c:pt idx="6">
                  <c:v>გვატემალა</c:v>
                </c:pt>
                <c:pt idx="7">
                  <c:v>ჰაიტი</c:v>
                </c:pt>
              </c:strCache>
            </c:strRef>
          </c:cat>
          <c:val>
            <c:numRef>
              <c:f>Sheet1!$H$2:$H$9</c:f>
              <c:numCache>
                <c:formatCode>General</c:formatCode>
                <c:ptCount val="8"/>
                <c:pt idx="0">
                  <c:v>2.2999999999999998</c:v>
                </c:pt>
                <c:pt idx="1">
                  <c:v>3.5</c:v>
                </c:pt>
                <c:pt idx="2">
                  <c:v>5.8</c:v>
                </c:pt>
                <c:pt idx="3">
                  <c:v>5.6</c:v>
                </c:pt>
                <c:pt idx="4">
                  <c:v>7.1</c:v>
                </c:pt>
                <c:pt idx="5">
                  <c:v>1.7</c:v>
                </c:pt>
                <c:pt idx="6">
                  <c:v>8</c:v>
                </c:pt>
                <c:pt idx="7">
                  <c:v>4.7</c:v>
                </c:pt>
              </c:numCache>
            </c:numRef>
          </c:val>
        </c:ser>
        <c:ser>
          <c:idx val="7"/>
          <c:order val="7"/>
          <c:tx>
            <c:strRef>
              <c:f>Sheet1!$I$1</c:f>
              <c:strCache>
                <c:ptCount val="1"/>
                <c:pt idx="0">
                  <c:v>დანარჩენი აგდ</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invertIfNegative val="0"/>
          <c:cat>
            <c:strRef>
              <c:f>Sheet1!$A$2:$A$9</c:f>
              <c:strCache>
                <c:ptCount val="8"/>
                <c:pt idx="0">
                  <c:v>კანადა</c:v>
                </c:pt>
                <c:pt idx="1">
                  <c:v>აშშ</c:v>
                </c:pt>
                <c:pt idx="2">
                  <c:v>მექსიკა</c:v>
                </c:pt>
                <c:pt idx="3">
                  <c:v>ბაჰამი</c:v>
                </c:pt>
                <c:pt idx="4">
                  <c:v>ბელიზი</c:v>
                </c:pt>
                <c:pt idx="5">
                  <c:v>კუბა</c:v>
                </c:pt>
                <c:pt idx="6">
                  <c:v>გვატემალა</c:v>
                </c:pt>
                <c:pt idx="7">
                  <c:v>ჰაიტი</c:v>
                </c:pt>
              </c:strCache>
            </c:strRef>
          </c:cat>
          <c:val>
            <c:numRef>
              <c:f>Sheet1!$I$2:$I$9</c:f>
              <c:numCache>
                <c:formatCode>General</c:formatCode>
                <c:ptCount val="8"/>
                <c:pt idx="0">
                  <c:v>4.7</c:v>
                </c:pt>
                <c:pt idx="1">
                  <c:v>5.8</c:v>
                </c:pt>
                <c:pt idx="2">
                  <c:v>7.9</c:v>
                </c:pt>
                <c:pt idx="3">
                  <c:v>10.9</c:v>
                </c:pt>
                <c:pt idx="4">
                  <c:v>0.4</c:v>
                </c:pt>
                <c:pt idx="5">
                  <c:v>3.5</c:v>
                </c:pt>
                <c:pt idx="6">
                  <c:v>10.5</c:v>
                </c:pt>
                <c:pt idx="7">
                  <c:v>7.4</c:v>
                </c:pt>
              </c:numCache>
            </c:numRef>
          </c:val>
        </c:ser>
        <c:dLbls>
          <c:showLegendKey val="0"/>
          <c:showVal val="0"/>
          <c:showCatName val="0"/>
          <c:showSerName val="0"/>
          <c:showPercent val="0"/>
          <c:showBubbleSize val="0"/>
        </c:dLbls>
        <c:gapWidth val="150"/>
        <c:overlap val="100"/>
        <c:axId val="-512254144"/>
        <c:axId val="-512253600"/>
      </c:barChart>
      <c:catAx>
        <c:axId val="-5122541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1000" b="0" i="0" u="none" strike="noStrike" kern="1200" baseline="0">
                <a:solidFill>
                  <a:srgbClr val="002060"/>
                </a:solidFill>
                <a:latin typeface="+mn-lt"/>
                <a:ea typeface="+mn-ea"/>
                <a:cs typeface="+mn-cs"/>
              </a:defRPr>
            </a:pPr>
            <a:endParaRPr lang="en-US"/>
          </a:p>
        </c:txPr>
        <c:crossAx val="-512253600"/>
        <c:crosses val="autoZero"/>
        <c:auto val="0"/>
        <c:lblAlgn val="ctr"/>
        <c:lblOffset val="100"/>
        <c:noMultiLvlLbl val="0"/>
      </c:catAx>
      <c:valAx>
        <c:axId val="-512253600"/>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en-US"/>
          </a:p>
        </c:txPr>
        <c:crossAx val="-512254144"/>
        <c:crosses val="autoZero"/>
        <c:crossBetween val="between"/>
        <c:majorUnit val="0.2"/>
      </c:valAx>
      <c:spPr>
        <a:noFill/>
        <a:ln>
          <a:noFill/>
        </a:ln>
        <a:effectLst/>
      </c:spPr>
    </c:plotArea>
    <c:legend>
      <c:legendPos val="b"/>
      <c:layout>
        <c:manualLayout>
          <c:xMode val="edge"/>
          <c:yMode val="edge"/>
          <c:x val="8.8441610504738782E-2"/>
          <c:y val="0.77042275965504303"/>
          <c:w val="0.84232907485987885"/>
          <c:h val="0.20678618297712784"/>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849601041780406E-2"/>
          <c:y val="4.2034718850492217E-2"/>
          <c:w val="0.9331478945566587"/>
          <c:h val="0.46384751721532963"/>
        </c:manualLayout>
      </c:layout>
      <c:barChart>
        <c:barDir val="col"/>
        <c:grouping val="percentStacked"/>
        <c:varyColors val="0"/>
        <c:ser>
          <c:idx val="0"/>
          <c:order val="0"/>
          <c:tx>
            <c:strRef>
              <c:f>Sheet1!$B$1</c:f>
              <c:strCache>
                <c:ptCount val="1"/>
                <c:pt idx="0">
                  <c:v>გსდ</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Sheet1!$A$2:$A$12</c:f>
              <c:strCache>
                <c:ptCount val="11"/>
                <c:pt idx="0">
                  <c:v>ბელარუსი</c:v>
                </c:pt>
                <c:pt idx="1">
                  <c:v>მოლდოვა</c:v>
                </c:pt>
                <c:pt idx="2">
                  <c:v>უკრაინა</c:v>
                </c:pt>
                <c:pt idx="3">
                  <c:v>სომხეთი</c:v>
                </c:pt>
                <c:pt idx="4">
                  <c:v>აზერბაიჯანი</c:v>
                </c:pt>
                <c:pt idx="5">
                  <c:v>ყაზახეთი</c:v>
                </c:pt>
                <c:pt idx="6">
                  <c:v>ყირგიზეთი</c:v>
                </c:pt>
                <c:pt idx="7">
                  <c:v>ტაჯიკეთი</c:v>
                </c:pt>
                <c:pt idx="8">
                  <c:v>უზბეკეთი</c:v>
                </c:pt>
                <c:pt idx="9">
                  <c:v>თურქმენეთი</c:v>
                </c:pt>
                <c:pt idx="10">
                  <c:v>რუსეთი</c:v>
                </c:pt>
              </c:strCache>
            </c:strRef>
          </c:cat>
          <c:val>
            <c:numRef>
              <c:f>Sheet1!$B$2:$B$12</c:f>
              <c:numCache>
                <c:formatCode>General</c:formatCode>
                <c:ptCount val="11"/>
                <c:pt idx="0">
                  <c:v>68.599999999999994</c:v>
                </c:pt>
                <c:pt idx="1">
                  <c:v>64.900000000000006</c:v>
                </c:pt>
                <c:pt idx="2">
                  <c:v>69.599999999999994</c:v>
                </c:pt>
                <c:pt idx="3">
                  <c:v>46.8</c:v>
                </c:pt>
                <c:pt idx="4">
                  <c:v>59.9</c:v>
                </c:pt>
                <c:pt idx="5">
                  <c:v>58.1</c:v>
                </c:pt>
                <c:pt idx="6">
                  <c:v>64.099999999999994</c:v>
                </c:pt>
                <c:pt idx="7">
                  <c:v>60.2</c:v>
                </c:pt>
                <c:pt idx="8">
                  <c:v>68.900000000000006</c:v>
                </c:pt>
                <c:pt idx="9">
                  <c:v>61.1</c:v>
                </c:pt>
                <c:pt idx="10">
                  <c:v>62.6</c:v>
                </c:pt>
              </c:numCache>
            </c:numRef>
          </c:val>
        </c:ser>
        <c:ser>
          <c:idx val="1"/>
          <c:order val="1"/>
          <c:tx>
            <c:strRef>
              <c:f>Sheet1!$C$1</c:f>
              <c:strCache>
                <c:ptCount val="1"/>
                <c:pt idx="0">
                  <c:v>კიბო</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Sheet1!$A$2:$A$12</c:f>
              <c:strCache>
                <c:ptCount val="11"/>
                <c:pt idx="0">
                  <c:v>ბელარუსი</c:v>
                </c:pt>
                <c:pt idx="1">
                  <c:v>მოლდოვა</c:v>
                </c:pt>
                <c:pt idx="2">
                  <c:v>უკრაინა</c:v>
                </c:pt>
                <c:pt idx="3">
                  <c:v>სომხეთი</c:v>
                </c:pt>
                <c:pt idx="4">
                  <c:v>აზერბაიჯანი</c:v>
                </c:pt>
                <c:pt idx="5">
                  <c:v>ყაზახეთი</c:v>
                </c:pt>
                <c:pt idx="6">
                  <c:v>ყირგიზეთი</c:v>
                </c:pt>
                <c:pt idx="7">
                  <c:v>ტაჯიკეთი</c:v>
                </c:pt>
                <c:pt idx="8">
                  <c:v>უზბეკეთი</c:v>
                </c:pt>
                <c:pt idx="9">
                  <c:v>თურქმენეთი</c:v>
                </c:pt>
                <c:pt idx="10">
                  <c:v>რუსეთი</c:v>
                </c:pt>
              </c:strCache>
            </c:strRef>
          </c:cat>
          <c:val>
            <c:numRef>
              <c:f>Sheet1!$C$2:$C$12</c:f>
              <c:numCache>
                <c:formatCode>General</c:formatCode>
                <c:ptCount val="11"/>
                <c:pt idx="0">
                  <c:v>17.5</c:v>
                </c:pt>
                <c:pt idx="1">
                  <c:v>16.8</c:v>
                </c:pt>
                <c:pt idx="2">
                  <c:v>16.8</c:v>
                </c:pt>
                <c:pt idx="3">
                  <c:v>30</c:v>
                </c:pt>
                <c:pt idx="4">
                  <c:v>18.7</c:v>
                </c:pt>
                <c:pt idx="5">
                  <c:v>20.399999999999999</c:v>
                </c:pt>
                <c:pt idx="6">
                  <c:v>13</c:v>
                </c:pt>
                <c:pt idx="7">
                  <c:v>14.4</c:v>
                </c:pt>
                <c:pt idx="8">
                  <c:v>9.6</c:v>
                </c:pt>
                <c:pt idx="9">
                  <c:v>15</c:v>
                </c:pt>
                <c:pt idx="10">
                  <c:v>22</c:v>
                </c:pt>
              </c:numCache>
            </c:numRef>
          </c:val>
        </c:ser>
        <c:ser>
          <c:idx val="2"/>
          <c:order val="2"/>
          <c:tx>
            <c:strRef>
              <c:f>Sheet1!$D$1</c:f>
              <c:strCache>
                <c:ptCount val="1"/>
                <c:pt idx="0">
                  <c:v>დიაბეტი</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Sheet1!$A$2:$A$12</c:f>
              <c:strCache>
                <c:ptCount val="11"/>
                <c:pt idx="0">
                  <c:v>ბელარუსი</c:v>
                </c:pt>
                <c:pt idx="1">
                  <c:v>მოლდოვა</c:v>
                </c:pt>
                <c:pt idx="2">
                  <c:v>უკრაინა</c:v>
                </c:pt>
                <c:pt idx="3">
                  <c:v>სომხეთი</c:v>
                </c:pt>
                <c:pt idx="4">
                  <c:v>აზერბაიჯანი</c:v>
                </c:pt>
                <c:pt idx="5">
                  <c:v>ყაზახეთი</c:v>
                </c:pt>
                <c:pt idx="6">
                  <c:v>ყირგიზეთი</c:v>
                </c:pt>
                <c:pt idx="7">
                  <c:v>ტაჯიკეთი</c:v>
                </c:pt>
                <c:pt idx="8">
                  <c:v>უზბეკეთი</c:v>
                </c:pt>
                <c:pt idx="9">
                  <c:v>თურქმენეთი</c:v>
                </c:pt>
                <c:pt idx="10">
                  <c:v>რუსეთი</c:v>
                </c:pt>
              </c:strCache>
            </c:strRef>
          </c:cat>
          <c:val>
            <c:numRef>
              <c:f>Sheet1!$D$2:$D$12</c:f>
              <c:numCache>
                <c:formatCode>General</c:formatCode>
                <c:ptCount val="11"/>
                <c:pt idx="0">
                  <c:v>0.4</c:v>
                </c:pt>
                <c:pt idx="1">
                  <c:v>1.2</c:v>
                </c:pt>
                <c:pt idx="2">
                  <c:v>0.4</c:v>
                </c:pt>
                <c:pt idx="3">
                  <c:v>4.2</c:v>
                </c:pt>
                <c:pt idx="4">
                  <c:v>2.8</c:v>
                </c:pt>
                <c:pt idx="5">
                  <c:v>1</c:v>
                </c:pt>
                <c:pt idx="6">
                  <c:v>1.3</c:v>
                </c:pt>
                <c:pt idx="7">
                  <c:v>2.5</c:v>
                </c:pt>
                <c:pt idx="8">
                  <c:v>4</c:v>
                </c:pt>
                <c:pt idx="9">
                  <c:v>2.2999999999999998</c:v>
                </c:pt>
                <c:pt idx="10">
                  <c:v>0.6</c:v>
                </c:pt>
              </c:numCache>
            </c:numRef>
          </c:val>
        </c:ser>
        <c:ser>
          <c:idx val="3"/>
          <c:order val="3"/>
          <c:tx>
            <c:strRef>
              <c:f>Sheet1!$E$1</c:f>
              <c:strCache>
                <c:ptCount val="1"/>
                <c:pt idx="0">
                  <c:v>ქრდ</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Sheet1!$A$2:$A$12</c:f>
              <c:strCache>
                <c:ptCount val="11"/>
                <c:pt idx="0">
                  <c:v>ბელარუსი</c:v>
                </c:pt>
                <c:pt idx="1">
                  <c:v>მოლდოვა</c:v>
                </c:pt>
                <c:pt idx="2">
                  <c:v>უკრაინა</c:v>
                </c:pt>
                <c:pt idx="3">
                  <c:v>სომხეთი</c:v>
                </c:pt>
                <c:pt idx="4">
                  <c:v>აზერბაიჯანი</c:v>
                </c:pt>
                <c:pt idx="5">
                  <c:v>ყაზახეთი</c:v>
                </c:pt>
                <c:pt idx="6">
                  <c:v>ყირგიზეთი</c:v>
                </c:pt>
                <c:pt idx="7">
                  <c:v>ტაჯიკეთი</c:v>
                </c:pt>
                <c:pt idx="8">
                  <c:v>უზბეკეთი</c:v>
                </c:pt>
                <c:pt idx="9">
                  <c:v>თურქმენეთი</c:v>
                </c:pt>
                <c:pt idx="10">
                  <c:v>რუსეთი</c:v>
                </c:pt>
              </c:strCache>
            </c:strRef>
          </c:cat>
          <c:val>
            <c:numRef>
              <c:f>Sheet1!$E$2:$E$12</c:f>
              <c:numCache>
                <c:formatCode>General</c:formatCode>
                <c:ptCount val="11"/>
                <c:pt idx="0">
                  <c:v>2</c:v>
                </c:pt>
                <c:pt idx="1">
                  <c:v>2.4</c:v>
                </c:pt>
                <c:pt idx="2">
                  <c:v>2.2999999999999998</c:v>
                </c:pt>
                <c:pt idx="3">
                  <c:v>4.5999999999999996</c:v>
                </c:pt>
                <c:pt idx="4">
                  <c:v>3.5</c:v>
                </c:pt>
                <c:pt idx="5">
                  <c:v>5.2</c:v>
                </c:pt>
                <c:pt idx="6">
                  <c:v>5</c:v>
                </c:pt>
                <c:pt idx="7">
                  <c:v>5.6</c:v>
                </c:pt>
                <c:pt idx="8">
                  <c:v>2.5</c:v>
                </c:pt>
                <c:pt idx="9">
                  <c:v>1.7</c:v>
                </c:pt>
                <c:pt idx="10">
                  <c:v>2</c:v>
                </c:pt>
              </c:numCache>
            </c:numRef>
          </c:val>
        </c:ser>
        <c:ser>
          <c:idx val="4"/>
          <c:order val="4"/>
          <c:tx>
            <c:strRef>
              <c:f>Sheet1!$F$1</c:f>
              <c:strCache>
                <c:ptCount val="1"/>
                <c:pt idx="0">
                  <c:v>ნერვული</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strRef>
              <c:f>Sheet1!$A$2:$A$12</c:f>
              <c:strCache>
                <c:ptCount val="11"/>
                <c:pt idx="0">
                  <c:v>ბელარუსი</c:v>
                </c:pt>
                <c:pt idx="1">
                  <c:v>მოლდოვა</c:v>
                </c:pt>
                <c:pt idx="2">
                  <c:v>უკრაინა</c:v>
                </c:pt>
                <c:pt idx="3">
                  <c:v>სომხეთი</c:v>
                </c:pt>
                <c:pt idx="4">
                  <c:v>აზერბაიჯანი</c:v>
                </c:pt>
                <c:pt idx="5">
                  <c:v>ყაზახეთი</c:v>
                </c:pt>
                <c:pt idx="6">
                  <c:v>ყირგიზეთი</c:v>
                </c:pt>
                <c:pt idx="7">
                  <c:v>ტაჯიკეთი</c:v>
                </c:pt>
                <c:pt idx="8">
                  <c:v>უზბეკეთი</c:v>
                </c:pt>
                <c:pt idx="9">
                  <c:v>თურქმენეთი</c:v>
                </c:pt>
                <c:pt idx="10">
                  <c:v>რუსეთი</c:v>
                </c:pt>
              </c:strCache>
            </c:strRef>
          </c:cat>
          <c:val>
            <c:numRef>
              <c:f>Sheet1!$F$2:$F$12</c:f>
              <c:numCache>
                <c:formatCode>General</c:formatCode>
                <c:ptCount val="11"/>
                <c:pt idx="0">
                  <c:v>4.5999999999999996</c:v>
                </c:pt>
                <c:pt idx="1">
                  <c:v>0.7</c:v>
                </c:pt>
                <c:pt idx="2">
                  <c:v>4</c:v>
                </c:pt>
                <c:pt idx="3">
                  <c:v>4.5999999999999996</c:v>
                </c:pt>
                <c:pt idx="4">
                  <c:v>3.5</c:v>
                </c:pt>
                <c:pt idx="5">
                  <c:v>3.2</c:v>
                </c:pt>
                <c:pt idx="6">
                  <c:v>1.3</c:v>
                </c:pt>
                <c:pt idx="7">
                  <c:v>4.0999999999999996</c:v>
                </c:pt>
                <c:pt idx="8">
                  <c:v>1.7</c:v>
                </c:pt>
                <c:pt idx="9">
                  <c:v>3</c:v>
                </c:pt>
                <c:pt idx="10">
                  <c:v>0.4</c:v>
                </c:pt>
              </c:numCache>
            </c:numRef>
          </c:val>
        </c:ser>
        <c:ser>
          <c:idx val="5"/>
          <c:order val="5"/>
          <c:tx>
            <c:strRef>
              <c:f>Sheet1!$G$1</c:f>
              <c:strCache>
                <c:ptCount val="1"/>
                <c:pt idx="0">
                  <c:v>საჭმლის მომნელებელი</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strRef>
              <c:f>Sheet1!$A$2:$A$12</c:f>
              <c:strCache>
                <c:ptCount val="11"/>
                <c:pt idx="0">
                  <c:v>ბელარუსი</c:v>
                </c:pt>
                <c:pt idx="1">
                  <c:v>მოლდოვა</c:v>
                </c:pt>
                <c:pt idx="2">
                  <c:v>უკრაინა</c:v>
                </c:pt>
                <c:pt idx="3">
                  <c:v>სომხეთი</c:v>
                </c:pt>
                <c:pt idx="4">
                  <c:v>აზერბაიჯანი</c:v>
                </c:pt>
                <c:pt idx="5">
                  <c:v>ყაზახეთი</c:v>
                </c:pt>
                <c:pt idx="6">
                  <c:v>ყირგიზეთი</c:v>
                </c:pt>
                <c:pt idx="7">
                  <c:v>ტაჯიკეთი</c:v>
                </c:pt>
                <c:pt idx="8">
                  <c:v>უზბეკეთი</c:v>
                </c:pt>
                <c:pt idx="9">
                  <c:v>თურქმენეთი</c:v>
                </c:pt>
                <c:pt idx="10">
                  <c:v>რუსეთი</c:v>
                </c:pt>
              </c:strCache>
            </c:strRef>
          </c:cat>
          <c:val>
            <c:numRef>
              <c:f>Sheet1!$G$2:$G$12</c:f>
              <c:numCache>
                <c:formatCode>General</c:formatCode>
                <c:ptCount val="11"/>
                <c:pt idx="0">
                  <c:v>3.8</c:v>
                </c:pt>
                <c:pt idx="1">
                  <c:v>10</c:v>
                </c:pt>
                <c:pt idx="2">
                  <c:v>3.9</c:v>
                </c:pt>
                <c:pt idx="3">
                  <c:v>5.3</c:v>
                </c:pt>
                <c:pt idx="4">
                  <c:v>6.3</c:v>
                </c:pt>
                <c:pt idx="5">
                  <c:v>7.8</c:v>
                </c:pt>
                <c:pt idx="6">
                  <c:v>8.6</c:v>
                </c:pt>
                <c:pt idx="7">
                  <c:v>5.6</c:v>
                </c:pt>
                <c:pt idx="8">
                  <c:v>6.6</c:v>
                </c:pt>
                <c:pt idx="9">
                  <c:v>8.6</c:v>
                </c:pt>
                <c:pt idx="10">
                  <c:v>4.5999999999999996</c:v>
                </c:pt>
              </c:numCache>
            </c:numRef>
          </c:val>
        </c:ser>
        <c:ser>
          <c:idx val="6"/>
          <c:order val="6"/>
          <c:tx>
            <c:strRef>
              <c:f>Sheet1!$H$1</c:f>
              <c:strCache>
                <c:ptCount val="1"/>
                <c:pt idx="0">
                  <c:v>შარდ-სასქესო</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cat>
            <c:strRef>
              <c:f>Sheet1!$A$2:$A$12</c:f>
              <c:strCache>
                <c:ptCount val="11"/>
                <c:pt idx="0">
                  <c:v>ბელარუსი</c:v>
                </c:pt>
                <c:pt idx="1">
                  <c:v>მოლდოვა</c:v>
                </c:pt>
                <c:pt idx="2">
                  <c:v>უკრაინა</c:v>
                </c:pt>
                <c:pt idx="3">
                  <c:v>სომხეთი</c:v>
                </c:pt>
                <c:pt idx="4">
                  <c:v>აზერბაიჯანი</c:v>
                </c:pt>
                <c:pt idx="5">
                  <c:v>ყაზახეთი</c:v>
                </c:pt>
                <c:pt idx="6">
                  <c:v>ყირგიზეთი</c:v>
                </c:pt>
                <c:pt idx="7">
                  <c:v>ტაჯიკეთი</c:v>
                </c:pt>
                <c:pt idx="8">
                  <c:v>უზბეკეთი</c:v>
                </c:pt>
                <c:pt idx="9">
                  <c:v>თურქმენეთი</c:v>
                </c:pt>
                <c:pt idx="10">
                  <c:v>რუსეთი</c:v>
                </c:pt>
              </c:strCache>
            </c:strRef>
          </c:cat>
          <c:val>
            <c:numRef>
              <c:f>Sheet1!$H$2:$H$12</c:f>
              <c:numCache>
                <c:formatCode>General</c:formatCode>
                <c:ptCount val="11"/>
                <c:pt idx="0">
                  <c:v>0.8</c:v>
                </c:pt>
                <c:pt idx="1">
                  <c:v>1.4</c:v>
                </c:pt>
                <c:pt idx="2">
                  <c:v>0.6</c:v>
                </c:pt>
                <c:pt idx="3">
                  <c:v>3</c:v>
                </c:pt>
                <c:pt idx="4">
                  <c:v>2.2000000000000002</c:v>
                </c:pt>
                <c:pt idx="5">
                  <c:v>1.7</c:v>
                </c:pt>
                <c:pt idx="6">
                  <c:v>2</c:v>
                </c:pt>
                <c:pt idx="7">
                  <c:v>2.2000000000000002</c:v>
                </c:pt>
                <c:pt idx="8">
                  <c:v>3.7</c:v>
                </c:pt>
                <c:pt idx="9">
                  <c:v>3.7</c:v>
                </c:pt>
                <c:pt idx="10">
                  <c:v>1</c:v>
                </c:pt>
              </c:numCache>
            </c:numRef>
          </c:val>
        </c:ser>
        <c:ser>
          <c:idx val="7"/>
          <c:order val="7"/>
          <c:tx>
            <c:strRef>
              <c:f>Sheet1!$I$1</c:f>
              <c:strCache>
                <c:ptCount val="1"/>
                <c:pt idx="0">
                  <c:v>დანარჩენი აგდ</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invertIfNegative val="0"/>
          <c:cat>
            <c:strRef>
              <c:f>Sheet1!$A$2:$A$12</c:f>
              <c:strCache>
                <c:ptCount val="11"/>
                <c:pt idx="0">
                  <c:v>ბელარუსი</c:v>
                </c:pt>
                <c:pt idx="1">
                  <c:v>მოლდოვა</c:v>
                </c:pt>
                <c:pt idx="2">
                  <c:v>უკრაინა</c:v>
                </c:pt>
                <c:pt idx="3">
                  <c:v>სომხეთი</c:v>
                </c:pt>
                <c:pt idx="4">
                  <c:v>აზერბაიჯანი</c:v>
                </c:pt>
                <c:pt idx="5">
                  <c:v>ყაზახეთი</c:v>
                </c:pt>
                <c:pt idx="6">
                  <c:v>ყირგიზეთი</c:v>
                </c:pt>
                <c:pt idx="7">
                  <c:v>ტაჯიკეთი</c:v>
                </c:pt>
                <c:pt idx="8">
                  <c:v>უზბეკეთი</c:v>
                </c:pt>
                <c:pt idx="9">
                  <c:v>თურქმენეთი</c:v>
                </c:pt>
                <c:pt idx="10">
                  <c:v>რუსეთი</c:v>
                </c:pt>
              </c:strCache>
            </c:strRef>
          </c:cat>
          <c:val>
            <c:numRef>
              <c:f>Sheet1!$I$2:$I$12</c:f>
              <c:numCache>
                <c:formatCode>General</c:formatCode>
                <c:ptCount val="11"/>
                <c:pt idx="0">
                  <c:v>2.2999999999999998</c:v>
                </c:pt>
                <c:pt idx="1">
                  <c:v>2.6</c:v>
                </c:pt>
                <c:pt idx="2">
                  <c:v>2.4</c:v>
                </c:pt>
                <c:pt idx="3">
                  <c:v>1.5</c:v>
                </c:pt>
                <c:pt idx="4">
                  <c:v>3.1</c:v>
                </c:pt>
                <c:pt idx="5">
                  <c:v>2.6</c:v>
                </c:pt>
                <c:pt idx="6">
                  <c:v>4.7</c:v>
                </c:pt>
                <c:pt idx="7">
                  <c:v>5.4</c:v>
                </c:pt>
                <c:pt idx="8">
                  <c:v>3</c:v>
                </c:pt>
                <c:pt idx="9">
                  <c:v>4.5999999999999996</c:v>
                </c:pt>
                <c:pt idx="10">
                  <c:v>6.8</c:v>
                </c:pt>
              </c:numCache>
            </c:numRef>
          </c:val>
        </c:ser>
        <c:dLbls>
          <c:showLegendKey val="0"/>
          <c:showVal val="0"/>
          <c:showCatName val="0"/>
          <c:showSerName val="0"/>
          <c:showPercent val="0"/>
          <c:showBubbleSize val="0"/>
        </c:dLbls>
        <c:gapWidth val="150"/>
        <c:overlap val="100"/>
        <c:axId val="-512253056"/>
        <c:axId val="-512251968"/>
      </c:barChart>
      <c:catAx>
        <c:axId val="-51225305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1000" b="0" i="0" u="none" strike="noStrike" kern="1200" baseline="0">
                <a:solidFill>
                  <a:srgbClr val="002060"/>
                </a:solidFill>
                <a:latin typeface="+mn-lt"/>
                <a:ea typeface="+mn-ea"/>
                <a:cs typeface="+mn-cs"/>
              </a:defRPr>
            </a:pPr>
            <a:endParaRPr lang="en-US"/>
          </a:p>
        </c:txPr>
        <c:crossAx val="-512251968"/>
        <c:crosses val="autoZero"/>
        <c:auto val="0"/>
        <c:lblAlgn val="ctr"/>
        <c:lblOffset val="100"/>
        <c:noMultiLvlLbl val="0"/>
      </c:catAx>
      <c:valAx>
        <c:axId val="-512251968"/>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en-US"/>
          </a:p>
        </c:txPr>
        <c:crossAx val="-512253056"/>
        <c:crosses val="autoZero"/>
        <c:crossBetween val="between"/>
        <c:majorUnit val="0.2"/>
      </c:valAx>
      <c:spPr>
        <a:noFill/>
        <a:ln>
          <a:noFill/>
        </a:ln>
        <a:effectLst/>
      </c:spPr>
    </c:plotArea>
    <c:legend>
      <c:legendPos val="b"/>
      <c:layout>
        <c:manualLayout>
          <c:xMode val="edge"/>
          <c:yMode val="edge"/>
          <c:x val="2.2409955764875193E-2"/>
          <c:y val="0.809850075558737"/>
          <c:w val="0.96520568106556759"/>
          <c:h val="0.190149924441263"/>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2">
                  <a:lumMod val="50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397999163148084E-2"/>
          <c:y val="3.6382841850651028E-2"/>
          <c:w val="0.9331478945566587"/>
          <c:h val="0.48469355616262255"/>
        </c:manualLayout>
      </c:layout>
      <c:barChart>
        <c:barDir val="col"/>
        <c:grouping val="percentStacked"/>
        <c:varyColors val="0"/>
        <c:ser>
          <c:idx val="0"/>
          <c:order val="0"/>
          <c:tx>
            <c:strRef>
              <c:f>Sheet1!$B$1</c:f>
              <c:strCache>
                <c:ptCount val="1"/>
                <c:pt idx="0">
                  <c:v>გსდ</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Sheet1!$A$2:$A$12</c:f>
              <c:strCache>
                <c:ptCount val="11"/>
                <c:pt idx="0">
                  <c:v>ავღანეთი</c:v>
                </c:pt>
                <c:pt idx="1">
                  <c:v>ბანგლადეში</c:v>
                </c:pt>
                <c:pt idx="2">
                  <c:v>ბუტანი</c:v>
                </c:pt>
                <c:pt idx="3">
                  <c:v>კამბოჯა</c:v>
                </c:pt>
                <c:pt idx="4">
                  <c:v>ინდოეთი</c:v>
                </c:pt>
                <c:pt idx="5">
                  <c:v>მალაიზია</c:v>
                </c:pt>
                <c:pt idx="6">
                  <c:v>მიანმარი</c:v>
                </c:pt>
                <c:pt idx="7">
                  <c:v>ნეპალი</c:v>
                </c:pt>
                <c:pt idx="8">
                  <c:v>შრილანკა</c:v>
                </c:pt>
                <c:pt idx="9">
                  <c:v>ტაილანდი</c:v>
                </c:pt>
                <c:pt idx="10">
                  <c:v>ვიეტნამი</c:v>
                </c:pt>
              </c:strCache>
            </c:strRef>
          </c:cat>
          <c:val>
            <c:numRef>
              <c:f>Sheet1!$B$2:$B$12</c:f>
              <c:numCache>
                <c:formatCode>General</c:formatCode>
                <c:ptCount val="11"/>
                <c:pt idx="0">
                  <c:v>46.8</c:v>
                </c:pt>
                <c:pt idx="1">
                  <c:v>45</c:v>
                </c:pt>
                <c:pt idx="2">
                  <c:v>40.6</c:v>
                </c:pt>
                <c:pt idx="3">
                  <c:v>37.6</c:v>
                </c:pt>
                <c:pt idx="4">
                  <c:v>43.2</c:v>
                </c:pt>
                <c:pt idx="5">
                  <c:v>47.6</c:v>
                </c:pt>
                <c:pt idx="6">
                  <c:v>37.1</c:v>
                </c:pt>
                <c:pt idx="7">
                  <c:v>45.5</c:v>
                </c:pt>
                <c:pt idx="8">
                  <c:v>40.9</c:v>
                </c:pt>
                <c:pt idx="9">
                  <c:v>31.2</c:v>
                </c:pt>
                <c:pt idx="10">
                  <c:v>40.6</c:v>
                </c:pt>
              </c:numCache>
            </c:numRef>
          </c:val>
        </c:ser>
        <c:ser>
          <c:idx val="1"/>
          <c:order val="1"/>
          <c:tx>
            <c:strRef>
              <c:f>Sheet1!$C$1</c:f>
              <c:strCache>
                <c:ptCount val="1"/>
                <c:pt idx="0">
                  <c:v>კიბო</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Sheet1!$A$2:$A$12</c:f>
              <c:strCache>
                <c:ptCount val="11"/>
                <c:pt idx="0">
                  <c:v>ავღანეთი</c:v>
                </c:pt>
                <c:pt idx="1">
                  <c:v>ბანგლადეში</c:v>
                </c:pt>
                <c:pt idx="2">
                  <c:v>ბუტანი</c:v>
                </c:pt>
                <c:pt idx="3">
                  <c:v>კამბოჯა</c:v>
                </c:pt>
                <c:pt idx="4">
                  <c:v>ინდოეთი</c:v>
                </c:pt>
                <c:pt idx="5">
                  <c:v>მალაიზია</c:v>
                </c:pt>
                <c:pt idx="6">
                  <c:v>მიანმარი</c:v>
                </c:pt>
                <c:pt idx="7">
                  <c:v>ნეპალი</c:v>
                </c:pt>
                <c:pt idx="8">
                  <c:v>შრილანკა</c:v>
                </c:pt>
                <c:pt idx="9">
                  <c:v>ტაილანდი</c:v>
                </c:pt>
                <c:pt idx="10">
                  <c:v>ვიეტნამი</c:v>
                </c:pt>
              </c:strCache>
            </c:strRef>
          </c:cat>
          <c:val>
            <c:numRef>
              <c:f>Sheet1!$C$2:$C$12</c:f>
              <c:numCache>
                <c:formatCode>General</c:formatCode>
                <c:ptCount val="11"/>
                <c:pt idx="0">
                  <c:v>18.2</c:v>
                </c:pt>
                <c:pt idx="1">
                  <c:v>17.399999999999999</c:v>
                </c:pt>
                <c:pt idx="2">
                  <c:v>11.1</c:v>
                </c:pt>
                <c:pt idx="3">
                  <c:v>21.9</c:v>
                </c:pt>
                <c:pt idx="4">
                  <c:v>13.6</c:v>
                </c:pt>
                <c:pt idx="5">
                  <c:v>21.6</c:v>
                </c:pt>
                <c:pt idx="6">
                  <c:v>18.5</c:v>
                </c:pt>
                <c:pt idx="7">
                  <c:v>14</c:v>
                </c:pt>
                <c:pt idx="8">
                  <c:v>17.2</c:v>
                </c:pt>
                <c:pt idx="9">
                  <c:v>23.8</c:v>
                </c:pt>
                <c:pt idx="10">
                  <c:v>24.1</c:v>
                </c:pt>
              </c:numCache>
            </c:numRef>
          </c:val>
        </c:ser>
        <c:ser>
          <c:idx val="2"/>
          <c:order val="2"/>
          <c:tx>
            <c:strRef>
              <c:f>Sheet1!$D$1</c:f>
              <c:strCache>
                <c:ptCount val="1"/>
                <c:pt idx="0">
                  <c:v>დიაბეტი</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Sheet1!$A$2:$A$12</c:f>
              <c:strCache>
                <c:ptCount val="11"/>
                <c:pt idx="0">
                  <c:v>ავღანეთი</c:v>
                </c:pt>
                <c:pt idx="1">
                  <c:v>ბანგლადეში</c:v>
                </c:pt>
                <c:pt idx="2">
                  <c:v>ბუტანი</c:v>
                </c:pt>
                <c:pt idx="3">
                  <c:v>კამბოჯა</c:v>
                </c:pt>
                <c:pt idx="4">
                  <c:v>ინდოეთი</c:v>
                </c:pt>
                <c:pt idx="5">
                  <c:v>მალაიზია</c:v>
                </c:pt>
                <c:pt idx="6">
                  <c:v>მიანმარი</c:v>
                </c:pt>
                <c:pt idx="7">
                  <c:v>ნეპალი</c:v>
                </c:pt>
                <c:pt idx="8">
                  <c:v>შრილანკა</c:v>
                </c:pt>
                <c:pt idx="9">
                  <c:v>ტაილანდი</c:v>
                </c:pt>
                <c:pt idx="10">
                  <c:v>ვიეტნამი</c:v>
                </c:pt>
              </c:strCache>
            </c:strRef>
          </c:cat>
          <c:val>
            <c:numRef>
              <c:f>Sheet1!$D$2:$D$12</c:f>
              <c:numCache>
                <c:formatCode>General</c:formatCode>
                <c:ptCount val="11"/>
                <c:pt idx="0">
                  <c:v>6.4</c:v>
                </c:pt>
                <c:pt idx="1">
                  <c:v>4.9000000000000004</c:v>
                </c:pt>
                <c:pt idx="2">
                  <c:v>6.3</c:v>
                </c:pt>
                <c:pt idx="3">
                  <c:v>3.7</c:v>
                </c:pt>
                <c:pt idx="4">
                  <c:v>5.2</c:v>
                </c:pt>
                <c:pt idx="5">
                  <c:v>4.0999999999999996</c:v>
                </c:pt>
                <c:pt idx="6">
                  <c:v>5.8</c:v>
                </c:pt>
                <c:pt idx="7">
                  <c:v>5.4</c:v>
                </c:pt>
                <c:pt idx="8">
                  <c:v>10.4</c:v>
                </c:pt>
                <c:pt idx="9">
                  <c:v>6</c:v>
                </c:pt>
                <c:pt idx="10">
                  <c:v>4.9000000000000004</c:v>
                </c:pt>
              </c:numCache>
            </c:numRef>
          </c:val>
        </c:ser>
        <c:ser>
          <c:idx val="3"/>
          <c:order val="3"/>
          <c:tx>
            <c:strRef>
              <c:f>Sheet1!$E$1</c:f>
              <c:strCache>
                <c:ptCount val="1"/>
                <c:pt idx="0">
                  <c:v>ქრდ</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Sheet1!$A$2:$A$12</c:f>
              <c:strCache>
                <c:ptCount val="11"/>
                <c:pt idx="0">
                  <c:v>ავღანეთი</c:v>
                </c:pt>
                <c:pt idx="1">
                  <c:v>ბანგლადეში</c:v>
                </c:pt>
                <c:pt idx="2">
                  <c:v>ბუტანი</c:v>
                </c:pt>
                <c:pt idx="3">
                  <c:v>კამბოჯა</c:v>
                </c:pt>
                <c:pt idx="4">
                  <c:v>ინდოეთი</c:v>
                </c:pt>
                <c:pt idx="5">
                  <c:v>მალაიზია</c:v>
                </c:pt>
                <c:pt idx="6">
                  <c:v>მიანმარი</c:v>
                </c:pt>
                <c:pt idx="7">
                  <c:v>ნეპალი</c:v>
                </c:pt>
                <c:pt idx="8">
                  <c:v>შრილანკა</c:v>
                </c:pt>
                <c:pt idx="9">
                  <c:v>ტაილანდი</c:v>
                </c:pt>
                <c:pt idx="10">
                  <c:v>ვიეტნამი</c:v>
                </c:pt>
              </c:strCache>
            </c:strRef>
          </c:cat>
          <c:val>
            <c:numRef>
              <c:f>Sheet1!$E$2:$E$12</c:f>
              <c:numCache>
                <c:formatCode>General</c:formatCode>
                <c:ptCount val="11"/>
                <c:pt idx="0">
                  <c:v>6.1</c:v>
                </c:pt>
                <c:pt idx="1">
                  <c:v>14.4</c:v>
                </c:pt>
                <c:pt idx="2">
                  <c:v>12.5</c:v>
                </c:pt>
                <c:pt idx="3">
                  <c:v>6.3</c:v>
                </c:pt>
                <c:pt idx="4">
                  <c:v>17</c:v>
                </c:pt>
                <c:pt idx="5">
                  <c:v>5.6</c:v>
                </c:pt>
                <c:pt idx="6">
                  <c:v>12.2</c:v>
                </c:pt>
                <c:pt idx="7">
                  <c:v>15.7</c:v>
                </c:pt>
                <c:pt idx="8">
                  <c:v>9.9</c:v>
                </c:pt>
                <c:pt idx="9">
                  <c:v>7.7</c:v>
                </c:pt>
                <c:pt idx="10">
                  <c:v>7.2</c:v>
                </c:pt>
              </c:numCache>
            </c:numRef>
          </c:val>
        </c:ser>
        <c:ser>
          <c:idx val="4"/>
          <c:order val="4"/>
          <c:tx>
            <c:strRef>
              <c:f>Sheet1!$F$1</c:f>
              <c:strCache>
                <c:ptCount val="1"/>
                <c:pt idx="0">
                  <c:v>ნერვული</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strRef>
              <c:f>Sheet1!$A$2:$A$12</c:f>
              <c:strCache>
                <c:ptCount val="11"/>
                <c:pt idx="0">
                  <c:v>ავღანეთი</c:v>
                </c:pt>
                <c:pt idx="1">
                  <c:v>ბანგლადეში</c:v>
                </c:pt>
                <c:pt idx="2">
                  <c:v>ბუტანი</c:v>
                </c:pt>
                <c:pt idx="3">
                  <c:v>კამბოჯა</c:v>
                </c:pt>
                <c:pt idx="4">
                  <c:v>ინდოეთი</c:v>
                </c:pt>
                <c:pt idx="5">
                  <c:v>მალაიზია</c:v>
                </c:pt>
                <c:pt idx="6">
                  <c:v>მიანმარი</c:v>
                </c:pt>
                <c:pt idx="7">
                  <c:v>ნეპალი</c:v>
                </c:pt>
                <c:pt idx="8">
                  <c:v>შრილანკა</c:v>
                </c:pt>
                <c:pt idx="9">
                  <c:v>ტაილანდი</c:v>
                </c:pt>
                <c:pt idx="10">
                  <c:v>ვიეტნამი</c:v>
                </c:pt>
              </c:strCache>
            </c:strRef>
          </c:cat>
          <c:val>
            <c:numRef>
              <c:f>Sheet1!$F$2:$F$12</c:f>
              <c:numCache>
                <c:formatCode>General</c:formatCode>
                <c:ptCount val="11"/>
                <c:pt idx="0">
                  <c:v>3.2</c:v>
                </c:pt>
                <c:pt idx="1">
                  <c:v>3.4</c:v>
                </c:pt>
                <c:pt idx="2">
                  <c:v>3.1</c:v>
                </c:pt>
                <c:pt idx="3">
                  <c:v>5</c:v>
                </c:pt>
                <c:pt idx="4">
                  <c:v>3.5</c:v>
                </c:pt>
                <c:pt idx="5">
                  <c:v>6.8</c:v>
                </c:pt>
                <c:pt idx="6">
                  <c:v>4.9000000000000004</c:v>
                </c:pt>
                <c:pt idx="7">
                  <c:v>4.0999999999999996</c:v>
                </c:pt>
                <c:pt idx="8">
                  <c:v>7.7</c:v>
                </c:pt>
                <c:pt idx="9">
                  <c:v>11</c:v>
                </c:pt>
                <c:pt idx="10">
                  <c:v>8.5</c:v>
                </c:pt>
              </c:numCache>
            </c:numRef>
          </c:val>
        </c:ser>
        <c:ser>
          <c:idx val="5"/>
          <c:order val="5"/>
          <c:tx>
            <c:strRef>
              <c:f>Sheet1!$G$1</c:f>
              <c:strCache>
                <c:ptCount val="1"/>
                <c:pt idx="0">
                  <c:v>საჭმლის მომნელებელი</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strRef>
              <c:f>Sheet1!$A$2:$A$12</c:f>
              <c:strCache>
                <c:ptCount val="11"/>
                <c:pt idx="0">
                  <c:v>ავღანეთი</c:v>
                </c:pt>
                <c:pt idx="1">
                  <c:v>ბანგლადეში</c:v>
                </c:pt>
                <c:pt idx="2">
                  <c:v>ბუტანი</c:v>
                </c:pt>
                <c:pt idx="3">
                  <c:v>კამბოჯა</c:v>
                </c:pt>
                <c:pt idx="4">
                  <c:v>ინდოეთი</c:v>
                </c:pt>
                <c:pt idx="5">
                  <c:v>მალაიზია</c:v>
                </c:pt>
                <c:pt idx="6">
                  <c:v>მიანმარი</c:v>
                </c:pt>
                <c:pt idx="7">
                  <c:v>ნეპალი</c:v>
                </c:pt>
                <c:pt idx="8">
                  <c:v>შრილანკა</c:v>
                </c:pt>
                <c:pt idx="9">
                  <c:v>ტაილანდი</c:v>
                </c:pt>
                <c:pt idx="10">
                  <c:v>ვიეტნამი</c:v>
                </c:pt>
              </c:strCache>
            </c:strRef>
          </c:cat>
          <c:val>
            <c:numRef>
              <c:f>Sheet1!$G$2:$G$12</c:f>
              <c:numCache>
                <c:formatCode>General</c:formatCode>
                <c:ptCount val="11"/>
                <c:pt idx="0">
                  <c:v>5</c:v>
                </c:pt>
                <c:pt idx="1">
                  <c:v>7</c:v>
                </c:pt>
                <c:pt idx="2">
                  <c:v>9.4</c:v>
                </c:pt>
                <c:pt idx="3">
                  <c:v>18</c:v>
                </c:pt>
                <c:pt idx="4">
                  <c:v>8.5</c:v>
                </c:pt>
                <c:pt idx="5">
                  <c:v>5.7</c:v>
                </c:pt>
                <c:pt idx="6">
                  <c:v>12</c:v>
                </c:pt>
                <c:pt idx="7">
                  <c:v>7</c:v>
                </c:pt>
                <c:pt idx="8">
                  <c:v>5.8</c:v>
                </c:pt>
                <c:pt idx="9">
                  <c:v>7.2</c:v>
                </c:pt>
                <c:pt idx="10">
                  <c:v>6.6</c:v>
                </c:pt>
              </c:numCache>
            </c:numRef>
          </c:val>
        </c:ser>
        <c:ser>
          <c:idx val="6"/>
          <c:order val="6"/>
          <c:tx>
            <c:strRef>
              <c:f>Sheet1!$H$1</c:f>
              <c:strCache>
                <c:ptCount val="1"/>
                <c:pt idx="0">
                  <c:v>შარდ-სასქესო</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cat>
            <c:strRef>
              <c:f>Sheet1!$A$2:$A$12</c:f>
              <c:strCache>
                <c:ptCount val="11"/>
                <c:pt idx="0">
                  <c:v>ავღანეთი</c:v>
                </c:pt>
                <c:pt idx="1">
                  <c:v>ბანგლადეში</c:v>
                </c:pt>
                <c:pt idx="2">
                  <c:v>ბუტანი</c:v>
                </c:pt>
                <c:pt idx="3">
                  <c:v>კამბოჯა</c:v>
                </c:pt>
                <c:pt idx="4">
                  <c:v>ინდოეთი</c:v>
                </c:pt>
                <c:pt idx="5">
                  <c:v>მალაიზია</c:v>
                </c:pt>
                <c:pt idx="6">
                  <c:v>მიანმარი</c:v>
                </c:pt>
                <c:pt idx="7">
                  <c:v>ნეპალი</c:v>
                </c:pt>
                <c:pt idx="8">
                  <c:v>შრილანკა</c:v>
                </c:pt>
                <c:pt idx="9">
                  <c:v>ტაილანდი</c:v>
                </c:pt>
                <c:pt idx="10">
                  <c:v>ვიეტნამი</c:v>
                </c:pt>
              </c:strCache>
            </c:strRef>
          </c:cat>
          <c:val>
            <c:numRef>
              <c:f>Sheet1!$H$2:$H$12</c:f>
              <c:numCache>
                <c:formatCode>General</c:formatCode>
                <c:ptCount val="11"/>
                <c:pt idx="0">
                  <c:v>5</c:v>
                </c:pt>
                <c:pt idx="1">
                  <c:v>3.9</c:v>
                </c:pt>
                <c:pt idx="2">
                  <c:v>6.3</c:v>
                </c:pt>
                <c:pt idx="3">
                  <c:v>3.5</c:v>
                </c:pt>
                <c:pt idx="4">
                  <c:v>5.0999999999999996</c:v>
                </c:pt>
                <c:pt idx="5">
                  <c:v>5.2</c:v>
                </c:pt>
                <c:pt idx="6">
                  <c:v>5.2</c:v>
                </c:pt>
                <c:pt idx="7">
                  <c:v>4.9000000000000004</c:v>
                </c:pt>
                <c:pt idx="8">
                  <c:v>5.6</c:v>
                </c:pt>
                <c:pt idx="9">
                  <c:v>9</c:v>
                </c:pt>
                <c:pt idx="10">
                  <c:v>4.2</c:v>
                </c:pt>
              </c:numCache>
            </c:numRef>
          </c:val>
        </c:ser>
        <c:ser>
          <c:idx val="7"/>
          <c:order val="7"/>
          <c:tx>
            <c:strRef>
              <c:f>Sheet1!$I$1</c:f>
              <c:strCache>
                <c:ptCount val="1"/>
                <c:pt idx="0">
                  <c:v>დანარჩენი აგდ</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invertIfNegative val="0"/>
          <c:cat>
            <c:strRef>
              <c:f>Sheet1!$A$2:$A$12</c:f>
              <c:strCache>
                <c:ptCount val="11"/>
                <c:pt idx="0">
                  <c:v>ავღანეთი</c:v>
                </c:pt>
                <c:pt idx="1">
                  <c:v>ბანგლადეში</c:v>
                </c:pt>
                <c:pt idx="2">
                  <c:v>ბუტანი</c:v>
                </c:pt>
                <c:pt idx="3">
                  <c:v>კამბოჯა</c:v>
                </c:pt>
                <c:pt idx="4">
                  <c:v>ინდოეთი</c:v>
                </c:pt>
                <c:pt idx="5">
                  <c:v>მალაიზია</c:v>
                </c:pt>
                <c:pt idx="6">
                  <c:v>მიანმარი</c:v>
                </c:pt>
                <c:pt idx="7">
                  <c:v>ნეპალი</c:v>
                </c:pt>
                <c:pt idx="8">
                  <c:v>შრილანკა</c:v>
                </c:pt>
                <c:pt idx="9">
                  <c:v>ტაილანდი</c:v>
                </c:pt>
                <c:pt idx="10">
                  <c:v>ვიეტნამი</c:v>
                </c:pt>
              </c:strCache>
            </c:strRef>
          </c:cat>
          <c:val>
            <c:numRef>
              <c:f>Sheet1!$I$2:$I$12</c:f>
              <c:numCache>
                <c:formatCode>General</c:formatCode>
                <c:ptCount val="11"/>
                <c:pt idx="0">
                  <c:v>9.3000000000000007</c:v>
                </c:pt>
                <c:pt idx="1">
                  <c:v>4</c:v>
                </c:pt>
                <c:pt idx="2">
                  <c:v>10.7</c:v>
                </c:pt>
                <c:pt idx="3">
                  <c:v>10</c:v>
                </c:pt>
                <c:pt idx="4">
                  <c:v>3.9</c:v>
                </c:pt>
                <c:pt idx="5">
                  <c:v>3.4</c:v>
                </c:pt>
                <c:pt idx="6">
                  <c:v>4.3</c:v>
                </c:pt>
                <c:pt idx="7">
                  <c:v>3.4</c:v>
                </c:pt>
                <c:pt idx="8">
                  <c:v>2.5</c:v>
                </c:pt>
                <c:pt idx="9">
                  <c:v>11.1</c:v>
                </c:pt>
                <c:pt idx="10">
                  <c:v>3.9</c:v>
                </c:pt>
              </c:numCache>
            </c:numRef>
          </c:val>
        </c:ser>
        <c:dLbls>
          <c:showLegendKey val="0"/>
          <c:showVal val="0"/>
          <c:showCatName val="0"/>
          <c:showSerName val="0"/>
          <c:showPercent val="0"/>
          <c:showBubbleSize val="0"/>
        </c:dLbls>
        <c:gapWidth val="150"/>
        <c:overlap val="100"/>
        <c:axId val="-582048480"/>
        <c:axId val="-582044672"/>
      </c:barChart>
      <c:catAx>
        <c:axId val="-5820484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1000" b="0" i="0" u="none" strike="noStrike" kern="1200" baseline="0">
                <a:solidFill>
                  <a:srgbClr val="002060"/>
                </a:solidFill>
                <a:latin typeface="+mn-lt"/>
                <a:ea typeface="+mn-ea"/>
                <a:cs typeface="+mn-cs"/>
              </a:defRPr>
            </a:pPr>
            <a:endParaRPr lang="en-US"/>
          </a:p>
        </c:txPr>
        <c:crossAx val="-582044672"/>
        <c:crosses val="autoZero"/>
        <c:auto val="0"/>
        <c:lblAlgn val="ctr"/>
        <c:lblOffset val="100"/>
        <c:noMultiLvlLbl val="0"/>
      </c:catAx>
      <c:valAx>
        <c:axId val="-58204467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en-US"/>
          </a:p>
        </c:txPr>
        <c:crossAx val="-582048480"/>
        <c:crosses val="autoZero"/>
        <c:crossBetween val="between"/>
        <c:majorUnit val="0.2"/>
      </c:valAx>
      <c:spPr>
        <a:noFill/>
        <a:ln>
          <a:noFill/>
        </a:ln>
        <a:effectLst/>
      </c:spPr>
    </c:plotArea>
    <c:legend>
      <c:legendPos val="b"/>
      <c:layout>
        <c:manualLayout>
          <c:xMode val="edge"/>
          <c:yMode val="edge"/>
          <c:x val="8.428083598343053E-2"/>
          <c:y val="0.80455799408052708"/>
          <c:w val="0.83825621648262671"/>
          <c:h val="0.19544185548235041"/>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639247618940946E-2"/>
          <c:y val="3.7577870824223189E-2"/>
          <c:w val="0.91587758500315486"/>
          <c:h val="0.46958363811080994"/>
        </c:manualLayout>
      </c:layout>
      <c:barChart>
        <c:barDir val="col"/>
        <c:grouping val="percentStacked"/>
        <c:varyColors val="0"/>
        <c:ser>
          <c:idx val="0"/>
          <c:order val="0"/>
          <c:tx>
            <c:strRef>
              <c:f>Sheet1!$B$1</c:f>
              <c:strCache>
                <c:ptCount val="1"/>
                <c:pt idx="0">
                  <c:v>გსდ</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Sheet1!$A$2:$A$13</c:f>
              <c:strCache>
                <c:ptCount val="12"/>
                <c:pt idx="0">
                  <c:v>ალჟირი</c:v>
                </c:pt>
                <c:pt idx="1">
                  <c:v>ანგოლა</c:v>
                </c:pt>
                <c:pt idx="2">
                  <c:v>ბენინი</c:v>
                </c:pt>
                <c:pt idx="3">
                  <c:v>კამერუნი</c:v>
                </c:pt>
                <c:pt idx="4">
                  <c:v>ეგვიპტე</c:v>
                </c:pt>
                <c:pt idx="5">
                  <c:v>ეთიოპია</c:v>
                </c:pt>
                <c:pt idx="6">
                  <c:v>განა</c:v>
                </c:pt>
                <c:pt idx="7">
                  <c:v>ლიბია</c:v>
                </c:pt>
                <c:pt idx="8">
                  <c:v>მალი</c:v>
                </c:pt>
                <c:pt idx="9">
                  <c:v>მაროკო</c:v>
                </c:pt>
                <c:pt idx="10">
                  <c:v>ნიგერია</c:v>
                </c:pt>
                <c:pt idx="11">
                  <c:v>ტუნისი</c:v>
                </c:pt>
              </c:strCache>
            </c:strRef>
          </c:cat>
          <c:val>
            <c:numRef>
              <c:f>Sheet1!$B$2:$B$13</c:f>
              <c:numCache>
                <c:formatCode>General</c:formatCode>
                <c:ptCount val="12"/>
                <c:pt idx="0">
                  <c:v>48</c:v>
                </c:pt>
                <c:pt idx="1">
                  <c:v>36.299999999999997</c:v>
                </c:pt>
                <c:pt idx="2">
                  <c:v>38.200000000000003</c:v>
                </c:pt>
                <c:pt idx="3">
                  <c:v>34.6</c:v>
                </c:pt>
                <c:pt idx="4">
                  <c:v>48.1</c:v>
                </c:pt>
                <c:pt idx="5">
                  <c:v>39.799999999999997</c:v>
                </c:pt>
                <c:pt idx="6">
                  <c:v>44.7</c:v>
                </c:pt>
                <c:pt idx="7">
                  <c:v>47.9</c:v>
                </c:pt>
                <c:pt idx="8">
                  <c:v>39.200000000000003</c:v>
                </c:pt>
                <c:pt idx="9">
                  <c:v>48</c:v>
                </c:pt>
                <c:pt idx="10">
                  <c:v>36.5</c:v>
                </c:pt>
                <c:pt idx="11">
                  <c:v>51.7</c:v>
                </c:pt>
              </c:numCache>
            </c:numRef>
          </c:val>
        </c:ser>
        <c:ser>
          <c:idx val="1"/>
          <c:order val="1"/>
          <c:tx>
            <c:strRef>
              <c:f>Sheet1!$C$1</c:f>
              <c:strCache>
                <c:ptCount val="1"/>
                <c:pt idx="0">
                  <c:v>კიბო</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Sheet1!$A$2:$A$13</c:f>
              <c:strCache>
                <c:ptCount val="12"/>
                <c:pt idx="0">
                  <c:v>ალჟირი</c:v>
                </c:pt>
                <c:pt idx="1">
                  <c:v>ანგოლა</c:v>
                </c:pt>
                <c:pt idx="2">
                  <c:v>ბენინი</c:v>
                </c:pt>
                <c:pt idx="3">
                  <c:v>კამერუნი</c:v>
                </c:pt>
                <c:pt idx="4">
                  <c:v>ეგვიპტე</c:v>
                </c:pt>
                <c:pt idx="5">
                  <c:v>ეთიოპია</c:v>
                </c:pt>
                <c:pt idx="6">
                  <c:v>განა</c:v>
                </c:pt>
                <c:pt idx="7">
                  <c:v>ლიბია</c:v>
                </c:pt>
                <c:pt idx="8">
                  <c:v>მალი</c:v>
                </c:pt>
                <c:pt idx="9">
                  <c:v>მაროკო</c:v>
                </c:pt>
                <c:pt idx="10">
                  <c:v>ნიგერია</c:v>
                </c:pt>
                <c:pt idx="11">
                  <c:v>ტუნისი</c:v>
                </c:pt>
              </c:strCache>
            </c:strRef>
          </c:cat>
          <c:val>
            <c:numRef>
              <c:f>Sheet1!$C$2:$C$13</c:f>
              <c:numCache>
                <c:formatCode>General</c:formatCode>
                <c:ptCount val="12"/>
                <c:pt idx="0">
                  <c:v>17.5</c:v>
                </c:pt>
                <c:pt idx="1">
                  <c:v>13.7</c:v>
                </c:pt>
                <c:pt idx="2">
                  <c:v>11.1</c:v>
                </c:pt>
                <c:pt idx="3">
                  <c:v>14</c:v>
                </c:pt>
                <c:pt idx="4">
                  <c:v>15.2</c:v>
                </c:pt>
                <c:pt idx="5">
                  <c:v>18.5</c:v>
                </c:pt>
                <c:pt idx="6">
                  <c:v>12.6</c:v>
                </c:pt>
                <c:pt idx="7">
                  <c:v>16.5</c:v>
                </c:pt>
                <c:pt idx="8">
                  <c:v>13.9</c:v>
                </c:pt>
                <c:pt idx="9">
                  <c:v>17.899999999999999</c:v>
                </c:pt>
                <c:pt idx="10">
                  <c:v>13.2</c:v>
                </c:pt>
                <c:pt idx="11">
                  <c:v>13.4</c:v>
                </c:pt>
              </c:numCache>
            </c:numRef>
          </c:val>
        </c:ser>
        <c:ser>
          <c:idx val="2"/>
          <c:order val="2"/>
          <c:tx>
            <c:strRef>
              <c:f>Sheet1!$D$1</c:f>
              <c:strCache>
                <c:ptCount val="1"/>
                <c:pt idx="0">
                  <c:v>დიაბეტი</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Sheet1!$A$2:$A$13</c:f>
              <c:strCache>
                <c:ptCount val="12"/>
                <c:pt idx="0">
                  <c:v>ალჟირი</c:v>
                </c:pt>
                <c:pt idx="1">
                  <c:v>ანგოლა</c:v>
                </c:pt>
                <c:pt idx="2">
                  <c:v>ბენინი</c:v>
                </c:pt>
                <c:pt idx="3">
                  <c:v>კამერუნი</c:v>
                </c:pt>
                <c:pt idx="4">
                  <c:v>ეგვიპტე</c:v>
                </c:pt>
                <c:pt idx="5">
                  <c:v>ეთიოპია</c:v>
                </c:pt>
                <c:pt idx="6">
                  <c:v>განა</c:v>
                </c:pt>
                <c:pt idx="7">
                  <c:v>ლიბია</c:v>
                </c:pt>
                <c:pt idx="8">
                  <c:v>მალი</c:v>
                </c:pt>
                <c:pt idx="9">
                  <c:v>მაროკო</c:v>
                </c:pt>
                <c:pt idx="10">
                  <c:v>ნიგერია</c:v>
                </c:pt>
                <c:pt idx="11">
                  <c:v>ტუნისი</c:v>
                </c:pt>
              </c:strCache>
            </c:strRef>
          </c:cat>
          <c:val>
            <c:numRef>
              <c:f>Sheet1!$D$2:$D$13</c:f>
              <c:numCache>
                <c:formatCode>General</c:formatCode>
                <c:ptCount val="12"/>
                <c:pt idx="0">
                  <c:v>5.8</c:v>
                </c:pt>
                <c:pt idx="1">
                  <c:v>3.9</c:v>
                </c:pt>
                <c:pt idx="2">
                  <c:v>4.3</c:v>
                </c:pt>
                <c:pt idx="3">
                  <c:v>5.6</c:v>
                </c:pt>
                <c:pt idx="4">
                  <c:v>3.5</c:v>
                </c:pt>
                <c:pt idx="5">
                  <c:v>4.7</c:v>
                </c:pt>
                <c:pt idx="6">
                  <c:v>6</c:v>
                </c:pt>
                <c:pt idx="7">
                  <c:v>5.4</c:v>
                </c:pt>
                <c:pt idx="8">
                  <c:v>4.3</c:v>
                </c:pt>
                <c:pt idx="9">
                  <c:v>7.3</c:v>
                </c:pt>
                <c:pt idx="10">
                  <c:v>4.2</c:v>
                </c:pt>
                <c:pt idx="11">
                  <c:v>5.7</c:v>
                </c:pt>
              </c:numCache>
            </c:numRef>
          </c:val>
        </c:ser>
        <c:ser>
          <c:idx val="3"/>
          <c:order val="3"/>
          <c:tx>
            <c:strRef>
              <c:f>Sheet1!$E$1</c:f>
              <c:strCache>
                <c:ptCount val="1"/>
                <c:pt idx="0">
                  <c:v>ქრდ</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Sheet1!$A$2:$A$13</c:f>
              <c:strCache>
                <c:ptCount val="12"/>
                <c:pt idx="0">
                  <c:v>ალჟირი</c:v>
                </c:pt>
                <c:pt idx="1">
                  <c:v>ანგოლა</c:v>
                </c:pt>
                <c:pt idx="2">
                  <c:v>ბენინი</c:v>
                </c:pt>
                <c:pt idx="3">
                  <c:v>კამერუნი</c:v>
                </c:pt>
                <c:pt idx="4">
                  <c:v>ეგვიპტე</c:v>
                </c:pt>
                <c:pt idx="5">
                  <c:v>ეთიოპია</c:v>
                </c:pt>
                <c:pt idx="6">
                  <c:v>განა</c:v>
                </c:pt>
                <c:pt idx="7">
                  <c:v>ლიბია</c:v>
                </c:pt>
                <c:pt idx="8">
                  <c:v>მალი</c:v>
                </c:pt>
                <c:pt idx="9">
                  <c:v>მაროკო</c:v>
                </c:pt>
                <c:pt idx="10">
                  <c:v>ნიგერია</c:v>
                </c:pt>
                <c:pt idx="11">
                  <c:v>ტუნისი</c:v>
                </c:pt>
              </c:strCache>
            </c:strRef>
          </c:cat>
          <c:val>
            <c:numRef>
              <c:f>Sheet1!$E$2:$E$13</c:f>
              <c:numCache>
                <c:formatCode>General</c:formatCode>
                <c:ptCount val="12"/>
                <c:pt idx="0">
                  <c:v>4.0999999999999996</c:v>
                </c:pt>
                <c:pt idx="1">
                  <c:v>5.8</c:v>
                </c:pt>
                <c:pt idx="2">
                  <c:v>6.8</c:v>
                </c:pt>
                <c:pt idx="3">
                  <c:v>6.4</c:v>
                </c:pt>
                <c:pt idx="4">
                  <c:v>5.0999999999999996</c:v>
                </c:pt>
                <c:pt idx="5">
                  <c:v>5.6</c:v>
                </c:pt>
                <c:pt idx="6">
                  <c:v>5.2</c:v>
                </c:pt>
                <c:pt idx="7">
                  <c:v>4.5</c:v>
                </c:pt>
                <c:pt idx="8">
                  <c:v>9.6</c:v>
                </c:pt>
                <c:pt idx="9">
                  <c:v>4.4000000000000004</c:v>
                </c:pt>
                <c:pt idx="10">
                  <c:v>5.3</c:v>
                </c:pt>
                <c:pt idx="11">
                  <c:v>5</c:v>
                </c:pt>
              </c:numCache>
            </c:numRef>
          </c:val>
        </c:ser>
        <c:ser>
          <c:idx val="4"/>
          <c:order val="4"/>
          <c:tx>
            <c:strRef>
              <c:f>Sheet1!$F$1</c:f>
              <c:strCache>
                <c:ptCount val="1"/>
                <c:pt idx="0">
                  <c:v>ნერვული</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strRef>
              <c:f>Sheet1!$A$2:$A$13</c:f>
              <c:strCache>
                <c:ptCount val="12"/>
                <c:pt idx="0">
                  <c:v>ალჟირი</c:v>
                </c:pt>
                <c:pt idx="1">
                  <c:v>ანგოლა</c:v>
                </c:pt>
                <c:pt idx="2">
                  <c:v>ბენინი</c:v>
                </c:pt>
                <c:pt idx="3">
                  <c:v>კამერუნი</c:v>
                </c:pt>
                <c:pt idx="4">
                  <c:v>ეგვიპტე</c:v>
                </c:pt>
                <c:pt idx="5">
                  <c:v>ეთიოპია</c:v>
                </c:pt>
                <c:pt idx="6">
                  <c:v>განა</c:v>
                </c:pt>
                <c:pt idx="7">
                  <c:v>ლიბია</c:v>
                </c:pt>
                <c:pt idx="8">
                  <c:v>მალი</c:v>
                </c:pt>
                <c:pt idx="9">
                  <c:v>მაროკო</c:v>
                </c:pt>
                <c:pt idx="10">
                  <c:v>ნიგერია</c:v>
                </c:pt>
                <c:pt idx="11">
                  <c:v>ტუნისი</c:v>
                </c:pt>
              </c:strCache>
            </c:strRef>
          </c:cat>
          <c:val>
            <c:numRef>
              <c:f>Sheet1!$F$2:$F$13</c:f>
              <c:numCache>
                <c:formatCode>General</c:formatCode>
                <c:ptCount val="12"/>
                <c:pt idx="0">
                  <c:v>9</c:v>
                </c:pt>
                <c:pt idx="1">
                  <c:v>5</c:v>
                </c:pt>
                <c:pt idx="2">
                  <c:v>4.3</c:v>
                </c:pt>
                <c:pt idx="3">
                  <c:v>4.2</c:v>
                </c:pt>
                <c:pt idx="4">
                  <c:v>4.0999999999999996</c:v>
                </c:pt>
                <c:pt idx="5">
                  <c:v>4.5999999999999996</c:v>
                </c:pt>
                <c:pt idx="6">
                  <c:v>4</c:v>
                </c:pt>
                <c:pt idx="7">
                  <c:v>7.9</c:v>
                </c:pt>
                <c:pt idx="8">
                  <c:v>3.9</c:v>
                </c:pt>
                <c:pt idx="9">
                  <c:v>8.6</c:v>
                </c:pt>
                <c:pt idx="10">
                  <c:v>4.7</c:v>
                </c:pt>
                <c:pt idx="11">
                  <c:v>10</c:v>
                </c:pt>
              </c:numCache>
            </c:numRef>
          </c:val>
        </c:ser>
        <c:ser>
          <c:idx val="5"/>
          <c:order val="5"/>
          <c:tx>
            <c:strRef>
              <c:f>Sheet1!$G$1</c:f>
              <c:strCache>
                <c:ptCount val="1"/>
                <c:pt idx="0">
                  <c:v>საჭმლის მომნელებელი</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strRef>
              <c:f>Sheet1!$A$2:$A$13</c:f>
              <c:strCache>
                <c:ptCount val="12"/>
                <c:pt idx="0">
                  <c:v>ალჟირი</c:v>
                </c:pt>
                <c:pt idx="1">
                  <c:v>ანგოლა</c:v>
                </c:pt>
                <c:pt idx="2">
                  <c:v>ბენინი</c:v>
                </c:pt>
                <c:pt idx="3">
                  <c:v>კამერუნი</c:v>
                </c:pt>
                <c:pt idx="4">
                  <c:v>ეგვიპტე</c:v>
                </c:pt>
                <c:pt idx="5">
                  <c:v>ეთიოპია</c:v>
                </c:pt>
                <c:pt idx="6">
                  <c:v>განა</c:v>
                </c:pt>
                <c:pt idx="7">
                  <c:v>ლიბია</c:v>
                </c:pt>
                <c:pt idx="8">
                  <c:v>მალი</c:v>
                </c:pt>
                <c:pt idx="9">
                  <c:v>მაროკო</c:v>
                </c:pt>
                <c:pt idx="10">
                  <c:v>ნიგერია</c:v>
                </c:pt>
                <c:pt idx="11">
                  <c:v>ტუნისი</c:v>
                </c:pt>
              </c:strCache>
            </c:strRef>
          </c:cat>
          <c:val>
            <c:numRef>
              <c:f>Sheet1!$G$2:$G$13</c:f>
              <c:numCache>
                <c:formatCode>General</c:formatCode>
                <c:ptCount val="12"/>
                <c:pt idx="0">
                  <c:v>4.2</c:v>
                </c:pt>
                <c:pt idx="1">
                  <c:v>19.899999999999999</c:v>
                </c:pt>
                <c:pt idx="2">
                  <c:v>12.8</c:v>
                </c:pt>
                <c:pt idx="3">
                  <c:v>13.8</c:v>
                </c:pt>
                <c:pt idx="4">
                  <c:v>15.6</c:v>
                </c:pt>
                <c:pt idx="5">
                  <c:v>13.4</c:v>
                </c:pt>
                <c:pt idx="6">
                  <c:v>11.9</c:v>
                </c:pt>
                <c:pt idx="7">
                  <c:v>4.5</c:v>
                </c:pt>
                <c:pt idx="8">
                  <c:v>10.7</c:v>
                </c:pt>
                <c:pt idx="9">
                  <c:v>3.4</c:v>
                </c:pt>
                <c:pt idx="10">
                  <c:v>15.6</c:v>
                </c:pt>
                <c:pt idx="11">
                  <c:v>4</c:v>
                </c:pt>
              </c:numCache>
            </c:numRef>
          </c:val>
        </c:ser>
        <c:ser>
          <c:idx val="6"/>
          <c:order val="6"/>
          <c:tx>
            <c:strRef>
              <c:f>Sheet1!$H$1</c:f>
              <c:strCache>
                <c:ptCount val="1"/>
                <c:pt idx="0">
                  <c:v>შარდ-სასქესო</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cat>
            <c:strRef>
              <c:f>Sheet1!$A$2:$A$13</c:f>
              <c:strCache>
                <c:ptCount val="12"/>
                <c:pt idx="0">
                  <c:v>ალჟირი</c:v>
                </c:pt>
                <c:pt idx="1">
                  <c:v>ანგოლა</c:v>
                </c:pt>
                <c:pt idx="2">
                  <c:v>ბენინი</c:v>
                </c:pt>
                <c:pt idx="3">
                  <c:v>კამერუნი</c:v>
                </c:pt>
                <c:pt idx="4">
                  <c:v>ეგვიპტე</c:v>
                </c:pt>
                <c:pt idx="5">
                  <c:v>ეთიოპია</c:v>
                </c:pt>
                <c:pt idx="6">
                  <c:v>განა</c:v>
                </c:pt>
                <c:pt idx="7">
                  <c:v>ლიბია</c:v>
                </c:pt>
                <c:pt idx="8">
                  <c:v>მალი</c:v>
                </c:pt>
                <c:pt idx="9">
                  <c:v>მაროკო</c:v>
                </c:pt>
                <c:pt idx="10">
                  <c:v>ნიგერია</c:v>
                </c:pt>
                <c:pt idx="11">
                  <c:v>ტუნისი</c:v>
                </c:pt>
              </c:strCache>
            </c:strRef>
          </c:cat>
          <c:val>
            <c:numRef>
              <c:f>Sheet1!$H$2:$H$13</c:f>
              <c:numCache>
                <c:formatCode>General</c:formatCode>
                <c:ptCount val="12"/>
                <c:pt idx="0">
                  <c:v>5.5</c:v>
                </c:pt>
                <c:pt idx="1">
                  <c:v>2.9</c:v>
                </c:pt>
                <c:pt idx="2">
                  <c:v>5.7</c:v>
                </c:pt>
                <c:pt idx="3">
                  <c:v>6</c:v>
                </c:pt>
                <c:pt idx="4">
                  <c:v>3.7</c:v>
                </c:pt>
                <c:pt idx="5">
                  <c:v>3.4</c:v>
                </c:pt>
                <c:pt idx="6">
                  <c:v>4.3</c:v>
                </c:pt>
                <c:pt idx="7">
                  <c:v>7.4</c:v>
                </c:pt>
                <c:pt idx="8">
                  <c:v>5</c:v>
                </c:pt>
                <c:pt idx="9">
                  <c:v>5.9</c:v>
                </c:pt>
                <c:pt idx="10">
                  <c:v>3.5</c:v>
                </c:pt>
                <c:pt idx="11">
                  <c:v>6.3</c:v>
                </c:pt>
              </c:numCache>
            </c:numRef>
          </c:val>
        </c:ser>
        <c:ser>
          <c:idx val="7"/>
          <c:order val="7"/>
          <c:tx>
            <c:strRef>
              <c:f>Sheet1!$I$1</c:f>
              <c:strCache>
                <c:ptCount val="1"/>
                <c:pt idx="0">
                  <c:v>დანარჩენი აგდ</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invertIfNegative val="0"/>
          <c:cat>
            <c:strRef>
              <c:f>Sheet1!$A$2:$A$13</c:f>
              <c:strCache>
                <c:ptCount val="12"/>
                <c:pt idx="0">
                  <c:v>ალჟირი</c:v>
                </c:pt>
                <c:pt idx="1">
                  <c:v>ანგოლა</c:v>
                </c:pt>
                <c:pt idx="2">
                  <c:v>ბენინი</c:v>
                </c:pt>
                <c:pt idx="3">
                  <c:v>კამერუნი</c:v>
                </c:pt>
                <c:pt idx="4">
                  <c:v>ეგვიპტე</c:v>
                </c:pt>
                <c:pt idx="5">
                  <c:v>ეთიოპია</c:v>
                </c:pt>
                <c:pt idx="6">
                  <c:v>განა</c:v>
                </c:pt>
                <c:pt idx="7">
                  <c:v>ლიბია</c:v>
                </c:pt>
                <c:pt idx="8">
                  <c:v>მალი</c:v>
                </c:pt>
                <c:pt idx="9">
                  <c:v>მაროკო</c:v>
                </c:pt>
                <c:pt idx="10">
                  <c:v>ნიგერია</c:v>
                </c:pt>
                <c:pt idx="11">
                  <c:v>ტუნისი</c:v>
                </c:pt>
              </c:strCache>
            </c:strRef>
          </c:cat>
          <c:val>
            <c:numRef>
              <c:f>Sheet1!$I$2:$I$13</c:f>
              <c:numCache>
                <c:formatCode>General</c:formatCode>
                <c:ptCount val="12"/>
                <c:pt idx="0">
                  <c:v>5.9</c:v>
                </c:pt>
                <c:pt idx="1">
                  <c:v>12.5</c:v>
                </c:pt>
                <c:pt idx="2">
                  <c:v>16.8</c:v>
                </c:pt>
                <c:pt idx="3">
                  <c:v>15.4</c:v>
                </c:pt>
                <c:pt idx="4">
                  <c:v>4.7</c:v>
                </c:pt>
                <c:pt idx="5">
                  <c:v>10</c:v>
                </c:pt>
                <c:pt idx="6">
                  <c:v>11.3</c:v>
                </c:pt>
                <c:pt idx="7">
                  <c:v>5.9</c:v>
                </c:pt>
                <c:pt idx="8">
                  <c:v>13.4</c:v>
                </c:pt>
                <c:pt idx="9">
                  <c:v>4.5</c:v>
                </c:pt>
                <c:pt idx="10">
                  <c:v>17</c:v>
                </c:pt>
                <c:pt idx="11">
                  <c:v>3.9</c:v>
                </c:pt>
              </c:numCache>
            </c:numRef>
          </c:val>
        </c:ser>
        <c:dLbls>
          <c:showLegendKey val="0"/>
          <c:showVal val="0"/>
          <c:showCatName val="0"/>
          <c:showSerName val="0"/>
          <c:showPercent val="0"/>
          <c:showBubbleSize val="0"/>
        </c:dLbls>
        <c:gapWidth val="150"/>
        <c:overlap val="100"/>
        <c:axId val="-582043584"/>
        <c:axId val="-582045216"/>
      </c:barChart>
      <c:catAx>
        <c:axId val="-5820435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1000" b="0" i="0" u="none" strike="noStrike" kern="1200" baseline="0">
                <a:solidFill>
                  <a:srgbClr val="002060"/>
                </a:solidFill>
                <a:latin typeface="+mn-lt"/>
                <a:ea typeface="+mn-ea"/>
                <a:cs typeface="+mn-cs"/>
              </a:defRPr>
            </a:pPr>
            <a:endParaRPr lang="en-US"/>
          </a:p>
        </c:txPr>
        <c:crossAx val="-582045216"/>
        <c:crosses val="autoZero"/>
        <c:auto val="0"/>
        <c:lblAlgn val="ctr"/>
        <c:lblOffset val="100"/>
        <c:noMultiLvlLbl val="0"/>
      </c:catAx>
      <c:valAx>
        <c:axId val="-58204521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en-US"/>
          </a:p>
        </c:txPr>
        <c:crossAx val="-582043584"/>
        <c:crosses val="autoZero"/>
        <c:crossBetween val="between"/>
        <c:majorUnit val="0.2"/>
      </c:valAx>
      <c:spPr>
        <a:noFill/>
        <a:ln>
          <a:noFill/>
        </a:ln>
        <a:effectLst/>
      </c:spPr>
    </c:plotArea>
    <c:legend>
      <c:legendPos val="b"/>
      <c:layout>
        <c:manualLayout>
          <c:xMode val="edge"/>
          <c:yMode val="edge"/>
          <c:x val="4.9101152075616709E-2"/>
          <c:y val="0.77063052050000613"/>
          <c:w val="0.91778611785676323"/>
          <c:h val="0.22936900010786326"/>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058374647613511E-2"/>
          <c:y val="3.1154032854444458E-2"/>
          <c:w val="0.89557050160396612"/>
          <c:h val="0.5285770122292206"/>
        </c:manualLayout>
      </c:layout>
      <c:barChart>
        <c:barDir val="col"/>
        <c:grouping val="clustered"/>
        <c:varyColors val="0"/>
        <c:ser>
          <c:idx val="0"/>
          <c:order val="0"/>
          <c:tx>
            <c:strRef>
              <c:f>Sheet1!$B$1</c:f>
              <c:strCache>
                <c:ptCount val="1"/>
                <c:pt idx="0">
                  <c:v>გარდაცვლილთა რაოდენობა (მლნ)</c:v>
                </c:pt>
              </c:strCache>
            </c:strRef>
          </c:tx>
          <c:invertIfNegative val="0"/>
          <c:cat>
            <c:strRef>
              <c:f>Sheet1!$A$2:$A$28</c:f>
              <c:strCache>
                <c:ptCount val="27"/>
                <c:pt idx="0">
                  <c:v>ფილტვი</c:v>
                </c:pt>
                <c:pt idx="1">
                  <c:v>კუჭი</c:v>
                </c:pt>
                <c:pt idx="2">
                  <c:v>კოლორექტული</c:v>
                </c:pt>
                <c:pt idx="3">
                  <c:v>ღვიძლი</c:v>
                </c:pt>
                <c:pt idx="4">
                  <c:v>სარძევე ჯირკვალი</c:v>
                </c:pt>
                <c:pt idx="5">
                  <c:v>საყლაპავი</c:v>
                </c:pt>
                <c:pt idx="6">
                  <c:v>პანკრეასი</c:v>
                </c:pt>
                <c:pt idx="7">
                  <c:v>პროსტატა</c:v>
                </c:pt>
                <c:pt idx="8">
                  <c:v>ლეიკემია</c:v>
                </c:pt>
                <c:pt idx="9">
                  <c:v>საშვილოსნოს ყელი</c:v>
                </c:pt>
                <c:pt idx="10">
                  <c:v>ნერვული-თავის ტვინი</c:v>
                </c:pt>
                <c:pt idx="11">
                  <c:v>შარდის ბუშტი</c:v>
                </c:pt>
                <c:pt idx="12">
                  <c:v>ტუჩი-პირის ღრუ</c:v>
                </c:pt>
                <c:pt idx="13">
                  <c:v>საკვერცხე</c:v>
                </c:pt>
                <c:pt idx="14">
                  <c:v>ნაღვლის ბუშტი</c:v>
                </c:pt>
                <c:pt idx="15">
                  <c:v>თირკმელი</c:v>
                </c:pt>
                <c:pt idx="16">
                  <c:v>ხახა</c:v>
                </c:pt>
                <c:pt idx="17">
                  <c:v>ხორხი</c:v>
                </c:pt>
                <c:pt idx="18">
                  <c:v>მრავლობითი მიელომა</c:v>
                </c:pt>
                <c:pt idx="19">
                  <c:v>საშვილოსნოს ტანი</c:v>
                </c:pt>
                <c:pt idx="20">
                  <c:v>ცხვირ-ხახა</c:v>
                </c:pt>
                <c:pt idx="21">
                  <c:v>ავთვისებიანი კანის მელანომა</c:v>
                </c:pt>
                <c:pt idx="22">
                  <c:v>კანის არა-მელანომა</c:v>
                </c:pt>
                <c:pt idx="23">
                  <c:v>ფარისებრი</c:v>
                </c:pt>
                <c:pt idx="24">
                  <c:v>ჰოჯკინის ლიმფომა</c:v>
                </c:pt>
                <c:pt idx="25">
                  <c:v>სათესლე</c:v>
                </c:pt>
                <c:pt idx="26">
                  <c:v>სხვა</c:v>
                </c:pt>
              </c:strCache>
            </c:strRef>
          </c:cat>
          <c:val>
            <c:numRef>
              <c:f>Sheet1!$B$2:$B$28</c:f>
              <c:numCache>
                <c:formatCode>General</c:formatCode>
                <c:ptCount val="27"/>
                <c:pt idx="0">
                  <c:v>1710000</c:v>
                </c:pt>
                <c:pt idx="1">
                  <c:v>834171</c:v>
                </c:pt>
                <c:pt idx="2">
                  <c:v>829557</c:v>
                </c:pt>
                <c:pt idx="3">
                  <c:v>828945</c:v>
                </c:pt>
                <c:pt idx="4">
                  <c:v>545590</c:v>
                </c:pt>
                <c:pt idx="5">
                  <c:v>414890</c:v>
                </c:pt>
                <c:pt idx="6">
                  <c:v>405499</c:v>
                </c:pt>
                <c:pt idx="7">
                  <c:v>380916</c:v>
                </c:pt>
                <c:pt idx="8">
                  <c:v>310165</c:v>
                </c:pt>
                <c:pt idx="9">
                  <c:v>247160</c:v>
                </c:pt>
                <c:pt idx="10">
                  <c:v>227039</c:v>
                </c:pt>
                <c:pt idx="11">
                  <c:v>186199</c:v>
                </c:pt>
                <c:pt idx="12">
                  <c:v>176489</c:v>
                </c:pt>
                <c:pt idx="13">
                  <c:v>165041</c:v>
                </c:pt>
                <c:pt idx="14">
                  <c:v>161560</c:v>
                </c:pt>
                <c:pt idx="15">
                  <c:v>131800</c:v>
                </c:pt>
                <c:pt idx="16">
                  <c:v>118630</c:v>
                </c:pt>
                <c:pt idx="17">
                  <c:v>111044</c:v>
                </c:pt>
                <c:pt idx="18">
                  <c:v>98437</c:v>
                </c:pt>
                <c:pt idx="19">
                  <c:v>87526</c:v>
                </c:pt>
                <c:pt idx="20">
                  <c:v>63746</c:v>
                </c:pt>
                <c:pt idx="21">
                  <c:v>61680</c:v>
                </c:pt>
                <c:pt idx="22">
                  <c:v>53059</c:v>
                </c:pt>
                <c:pt idx="23">
                  <c:v>42861</c:v>
                </c:pt>
                <c:pt idx="24">
                  <c:v>28742</c:v>
                </c:pt>
                <c:pt idx="25">
                  <c:v>8651</c:v>
                </c:pt>
                <c:pt idx="26">
                  <c:v>431338</c:v>
                </c:pt>
              </c:numCache>
            </c:numRef>
          </c:val>
        </c:ser>
        <c:dLbls>
          <c:showLegendKey val="0"/>
          <c:showVal val="0"/>
          <c:showCatName val="0"/>
          <c:showSerName val="0"/>
          <c:showPercent val="0"/>
          <c:showBubbleSize val="0"/>
        </c:dLbls>
        <c:gapWidth val="150"/>
        <c:axId val="-582042496"/>
        <c:axId val="-582046848"/>
      </c:barChart>
      <c:catAx>
        <c:axId val="-582042496"/>
        <c:scaling>
          <c:orientation val="minMax"/>
        </c:scaling>
        <c:delete val="0"/>
        <c:axPos val="b"/>
        <c:numFmt formatCode="General" sourceLinked="0"/>
        <c:majorTickMark val="out"/>
        <c:minorTickMark val="none"/>
        <c:tickLblPos val="nextTo"/>
        <c:txPr>
          <a:bodyPr rot="-5400000" vert="horz"/>
          <a:lstStyle/>
          <a:p>
            <a:pPr>
              <a:defRPr sz="800">
                <a:solidFill>
                  <a:srgbClr val="002060"/>
                </a:solidFill>
              </a:defRPr>
            </a:pPr>
            <a:endParaRPr lang="en-US"/>
          </a:p>
        </c:txPr>
        <c:crossAx val="-582046848"/>
        <c:crosses val="autoZero"/>
        <c:auto val="1"/>
        <c:lblAlgn val="ctr"/>
        <c:lblOffset val="100"/>
        <c:noMultiLvlLbl val="0"/>
      </c:catAx>
      <c:valAx>
        <c:axId val="-582046848"/>
        <c:scaling>
          <c:orientation val="minMax"/>
        </c:scaling>
        <c:delete val="0"/>
        <c:axPos val="l"/>
        <c:majorGridlines/>
        <c:numFmt formatCode="General" sourceLinked="1"/>
        <c:majorTickMark val="out"/>
        <c:minorTickMark val="none"/>
        <c:tickLblPos val="nextTo"/>
        <c:txPr>
          <a:bodyPr/>
          <a:lstStyle/>
          <a:p>
            <a:pPr>
              <a:defRPr sz="1000">
                <a:solidFill>
                  <a:srgbClr val="002060"/>
                </a:solidFill>
              </a:defRPr>
            </a:pPr>
            <a:endParaRPr lang="en-US"/>
          </a:p>
        </c:txPr>
        <c:crossAx val="-582042496"/>
        <c:crosses val="autoZero"/>
        <c:crossBetween val="between"/>
      </c:valAx>
    </c:plotArea>
    <c:plotVisOnly val="1"/>
    <c:dispBlanksAs val="gap"/>
    <c:showDLblsOverMax val="0"/>
  </c:chart>
  <c:spPr>
    <a:ln>
      <a:solidFill>
        <a:srgbClr val="0070C0"/>
      </a:solidFill>
    </a:ln>
  </c:spPr>
  <c:txPr>
    <a:bodyPr/>
    <a:lstStyle/>
    <a:p>
      <a:pPr>
        <a:defRPr sz="1800"/>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2">
  <cs:axisTitle>
    <cs:lnRef idx="0"/>
    <cs:fillRef idx="0"/>
    <cs:effectRef idx="0"/>
    <cs:fontRef idx="minor">
      <a:schemeClr val="tx2"/>
    </cs:fontRef>
    <cs:defRPr sz="1197"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1197" kern="1200"/>
  </cs:chartArea>
  <cs:dataLabel>
    <cs:lnRef idx="0"/>
    <cs:fillRef idx="0"/>
    <cs:effectRef idx="0"/>
    <cs:fontRef idx="minor">
      <a:schemeClr val="tx2"/>
    </cs:fontRef>
    <cs:defRPr sz="1197"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1197"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1197"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2128"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1197"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1197"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02">
  <cs:axisTitle>
    <cs:lnRef idx="0"/>
    <cs:fillRef idx="0"/>
    <cs:effectRef idx="0"/>
    <cs:fontRef idx="minor">
      <a:schemeClr val="tx2"/>
    </cs:fontRef>
    <cs:defRPr sz="1197"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1197" kern="1200"/>
  </cs:chartArea>
  <cs:dataLabel>
    <cs:lnRef idx="0"/>
    <cs:fillRef idx="0"/>
    <cs:effectRef idx="0"/>
    <cs:fontRef idx="minor">
      <a:schemeClr val="tx2"/>
    </cs:fontRef>
    <cs:defRPr sz="1197"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1197"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1197"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2128"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1197"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1197"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02">
  <cs:axisTitle>
    <cs:lnRef idx="0"/>
    <cs:fillRef idx="0"/>
    <cs:effectRef idx="0"/>
    <cs:fontRef idx="minor">
      <a:schemeClr val="tx2"/>
    </cs:fontRef>
    <cs:defRPr sz="1197"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1197" kern="1200"/>
  </cs:chartArea>
  <cs:dataLabel>
    <cs:lnRef idx="0"/>
    <cs:fillRef idx="0"/>
    <cs:effectRef idx="0"/>
    <cs:fontRef idx="minor">
      <a:schemeClr val="tx2"/>
    </cs:fontRef>
    <cs:defRPr sz="1197"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1197"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1197"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2128"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1197"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1197"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302">
  <cs:axisTitle>
    <cs:lnRef idx="0"/>
    <cs:fillRef idx="0"/>
    <cs:effectRef idx="0"/>
    <cs:fontRef idx="minor">
      <a:schemeClr val="tx2"/>
    </cs:fontRef>
    <cs:defRPr sz="1197"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1197" kern="1200"/>
  </cs:chartArea>
  <cs:dataLabel>
    <cs:lnRef idx="0"/>
    <cs:fillRef idx="0"/>
    <cs:effectRef idx="0"/>
    <cs:fontRef idx="minor">
      <a:schemeClr val="tx2"/>
    </cs:fontRef>
    <cs:defRPr sz="1197"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1197"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1197"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2128"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1197"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1197"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302">
  <cs:axisTitle>
    <cs:lnRef idx="0"/>
    <cs:fillRef idx="0"/>
    <cs:effectRef idx="0"/>
    <cs:fontRef idx="minor">
      <a:schemeClr val="tx2"/>
    </cs:fontRef>
    <cs:defRPr sz="1197"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1197" kern="1200"/>
  </cs:chartArea>
  <cs:dataLabel>
    <cs:lnRef idx="0"/>
    <cs:fillRef idx="0"/>
    <cs:effectRef idx="0"/>
    <cs:fontRef idx="minor">
      <a:schemeClr val="tx2"/>
    </cs:fontRef>
    <cs:defRPr sz="1197"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1197"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1197"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2128"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1197"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1197"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302">
  <cs:axisTitle>
    <cs:lnRef idx="0"/>
    <cs:fillRef idx="0"/>
    <cs:effectRef idx="0"/>
    <cs:fontRef idx="minor">
      <a:schemeClr val="tx2"/>
    </cs:fontRef>
    <cs:defRPr sz="1197"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1197" kern="1200"/>
  </cs:chartArea>
  <cs:dataLabel>
    <cs:lnRef idx="0"/>
    <cs:fillRef idx="0"/>
    <cs:effectRef idx="0"/>
    <cs:fontRef idx="minor">
      <a:schemeClr val="tx2"/>
    </cs:fontRef>
    <cs:defRPr sz="1197"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1197"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1197"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2128"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1197"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1197"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16</Pages>
  <Words>2354</Words>
  <Characters>13418</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Nana Mebonia</cp:lastModifiedBy>
  <cp:revision>3</cp:revision>
  <dcterms:created xsi:type="dcterms:W3CDTF">2020-09-24T08:11:00Z</dcterms:created>
  <dcterms:modified xsi:type="dcterms:W3CDTF">2020-09-28T13:18:00Z</dcterms:modified>
</cp:coreProperties>
</file>