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3BB" w:rsidRPr="009E4CF0" w:rsidRDefault="00C933BB" w:rsidP="00B57BD2">
      <w:pPr>
        <w:pStyle w:val="BodyText"/>
        <w:jc w:val="both"/>
        <w:rPr>
          <w:rFonts w:ascii="Sylfaen" w:hAnsi="Sylfaen"/>
          <w:sz w:val="20"/>
        </w:rPr>
      </w:pPr>
      <w:bookmarkStart w:id="0" w:name="_GoBack"/>
      <w:bookmarkEnd w:id="0"/>
    </w:p>
    <w:p w:rsidR="00C933BB" w:rsidRPr="009E4CF0" w:rsidRDefault="00C933BB" w:rsidP="00B57BD2">
      <w:pPr>
        <w:pStyle w:val="BodyText"/>
        <w:spacing w:before="11"/>
        <w:jc w:val="both"/>
        <w:rPr>
          <w:rFonts w:ascii="Sylfaen" w:hAnsi="Sylfaen"/>
          <w:sz w:val="17"/>
        </w:rPr>
      </w:pPr>
    </w:p>
    <w:p w:rsidR="00C933BB" w:rsidRPr="009E4CF0" w:rsidRDefault="00D12A93" w:rsidP="00A9068F">
      <w:pPr>
        <w:pStyle w:val="Heading1"/>
        <w:spacing w:before="91"/>
        <w:ind w:left="0" w:right="1891" w:firstLine="0"/>
        <w:jc w:val="center"/>
        <w:rPr>
          <w:rFonts w:ascii="Sylfaen" w:hAnsi="Sylfaen"/>
        </w:rPr>
      </w:pPr>
      <w:bookmarkStart w:id="1" w:name="WHO_SUMMARY_OF_PRODUCT_CHARACTERISTICS"/>
      <w:bookmarkEnd w:id="1"/>
      <w:r w:rsidRPr="009E4CF0">
        <w:rPr>
          <w:rFonts w:ascii="Sylfaen" w:hAnsi="Sylfaen"/>
        </w:rPr>
        <w:t>ჯანმრთელობის მსოფლიო ორგანიზაციის პროდუქტის მახასიათებლების აღწერა</w:t>
      </w:r>
    </w:p>
    <w:p w:rsidR="00C933BB" w:rsidRPr="009E4CF0" w:rsidRDefault="00C933BB" w:rsidP="00A9068F">
      <w:pPr>
        <w:pStyle w:val="BodyText"/>
        <w:rPr>
          <w:rFonts w:ascii="Sylfaen" w:hAnsi="Sylfaen"/>
          <w:b/>
          <w:sz w:val="20"/>
        </w:rPr>
      </w:pPr>
    </w:p>
    <w:p w:rsidR="00C933BB" w:rsidRPr="009E4CF0" w:rsidRDefault="00C933BB" w:rsidP="00B57BD2">
      <w:pPr>
        <w:pStyle w:val="BodyText"/>
        <w:jc w:val="both"/>
        <w:rPr>
          <w:rFonts w:ascii="Sylfaen" w:hAnsi="Sylfaen"/>
          <w:b/>
          <w:sz w:val="20"/>
        </w:rPr>
      </w:pPr>
    </w:p>
    <w:p w:rsidR="00C933BB" w:rsidRPr="009E4CF0" w:rsidRDefault="00C933BB" w:rsidP="00B57BD2">
      <w:pPr>
        <w:pStyle w:val="BodyText"/>
        <w:jc w:val="both"/>
        <w:rPr>
          <w:rFonts w:ascii="Sylfaen" w:hAnsi="Sylfaen"/>
          <w:b/>
          <w:sz w:val="20"/>
        </w:rPr>
      </w:pPr>
    </w:p>
    <w:p w:rsidR="00C933BB" w:rsidRPr="009E4CF0" w:rsidRDefault="00C933BB" w:rsidP="00B57BD2">
      <w:pPr>
        <w:pStyle w:val="BodyText"/>
        <w:jc w:val="both"/>
        <w:rPr>
          <w:rFonts w:ascii="Sylfaen" w:hAnsi="Sylfaen"/>
          <w:b/>
          <w:sz w:val="20"/>
        </w:rPr>
      </w:pPr>
    </w:p>
    <w:p w:rsidR="00C933BB" w:rsidRPr="009E4CF0" w:rsidRDefault="00C933BB" w:rsidP="00B57BD2">
      <w:pPr>
        <w:pStyle w:val="BodyText"/>
        <w:jc w:val="both"/>
        <w:rPr>
          <w:rFonts w:ascii="Sylfaen" w:hAnsi="Sylfaen"/>
          <w:b/>
          <w:sz w:val="20"/>
        </w:rPr>
      </w:pPr>
    </w:p>
    <w:p w:rsidR="00C933BB" w:rsidRPr="009E4CF0" w:rsidRDefault="00C933BB" w:rsidP="00B57BD2">
      <w:pPr>
        <w:pStyle w:val="BodyText"/>
        <w:jc w:val="both"/>
        <w:rPr>
          <w:rFonts w:ascii="Sylfaen" w:hAnsi="Sylfaen"/>
          <w:b/>
          <w:sz w:val="20"/>
        </w:rPr>
      </w:pPr>
    </w:p>
    <w:p w:rsidR="00C933BB" w:rsidRPr="009E4CF0" w:rsidRDefault="00C933BB" w:rsidP="00B57BD2">
      <w:pPr>
        <w:pStyle w:val="BodyText"/>
        <w:jc w:val="both"/>
        <w:rPr>
          <w:rFonts w:ascii="Sylfaen" w:hAnsi="Sylfaen"/>
          <w:b/>
          <w:sz w:val="20"/>
        </w:rPr>
      </w:pPr>
    </w:p>
    <w:p w:rsidR="00C933BB" w:rsidRPr="009E4CF0" w:rsidRDefault="00C933BB" w:rsidP="00B57BD2">
      <w:pPr>
        <w:pStyle w:val="BodyText"/>
        <w:jc w:val="both"/>
        <w:rPr>
          <w:rFonts w:ascii="Sylfaen" w:hAnsi="Sylfaen"/>
          <w:b/>
          <w:sz w:val="20"/>
        </w:rPr>
      </w:pPr>
    </w:p>
    <w:p w:rsidR="00C933BB" w:rsidRPr="009E4CF0" w:rsidRDefault="00C933BB" w:rsidP="00B57BD2">
      <w:pPr>
        <w:pStyle w:val="BodyText"/>
        <w:jc w:val="both"/>
        <w:rPr>
          <w:rFonts w:ascii="Sylfaen" w:hAnsi="Sylfaen"/>
          <w:b/>
          <w:sz w:val="20"/>
        </w:rPr>
      </w:pPr>
    </w:p>
    <w:p w:rsidR="00C933BB" w:rsidRPr="009E4CF0" w:rsidRDefault="00C933BB" w:rsidP="00B57BD2">
      <w:pPr>
        <w:pStyle w:val="BodyText"/>
        <w:jc w:val="both"/>
        <w:rPr>
          <w:rFonts w:ascii="Sylfaen" w:hAnsi="Sylfaen"/>
          <w:b/>
          <w:sz w:val="20"/>
        </w:rPr>
      </w:pPr>
    </w:p>
    <w:p w:rsidR="00C933BB" w:rsidRPr="009E4CF0" w:rsidRDefault="00C933BB" w:rsidP="00B57BD2">
      <w:pPr>
        <w:pStyle w:val="BodyText"/>
        <w:jc w:val="both"/>
        <w:rPr>
          <w:rFonts w:ascii="Sylfaen" w:hAnsi="Sylfaen"/>
          <w:b/>
          <w:sz w:val="20"/>
        </w:rPr>
      </w:pPr>
    </w:p>
    <w:p w:rsidR="00C933BB" w:rsidRPr="009E4CF0" w:rsidRDefault="00C933BB" w:rsidP="00B57BD2">
      <w:pPr>
        <w:pStyle w:val="BodyText"/>
        <w:jc w:val="both"/>
        <w:rPr>
          <w:rFonts w:ascii="Sylfaen" w:hAnsi="Sylfaen"/>
          <w:b/>
          <w:sz w:val="20"/>
        </w:rPr>
      </w:pPr>
    </w:p>
    <w:p w:rsidR="00C933BB" w:rsidRPr="009E4CF0" w:rsidRDefault="00C933BB" w:rsidP="00B57BD2">
      <w:pPr>
        <w:pStyle w:val="BodyText"/>
        <w:jc w:val="both"/>
        <w:rPr>
          <w:rFonts w:ascii="Sylfaen" w:hAnsi="Sylfaen"/>
          <w:b/>
          <w:sz w:val="20"/>
        </w:rPr>
      </w:pPr>
    </w:p>
    <w:p w:rsidR="00C933BB" w:rsidRPr="009E4CF0" w:rsidRDefault="00C933BB" w:rsidP="00B57BD2">
      <w:pPr>
        <w:pStyle w:val="BodyText"/>
        <w:jc w:val="both"/>
        <w:rPr>
          <w:rFonts w:ascii="Sylfaen" w:hAnsi="Sylfaen"/>
          <w:b/>
          <w:sz w:val="20"/>
        </w:rPr>
      </w:pPr>
    </w:p>
    <w:p w:rsidR="00C933BB" w:rsidRPr="009E4CF0" w:rsidRDefault="00C933BB" w:rsidP="00B57BD2">
      <w:pPr>
        <w:pStyle w:val="BodyText"/>
        <w:jc w:val="both"/>
        <w:rPr>
          <w:rFonts w:ascii="Sylfaen" w:hAnsi="Sylfaen"/>
          <w:b/>
          <w:sz w:val="20"/>
        </w:rPr>
      </w:pPr>
    </w:p>
    <w:p w:rsidR="00C933BB" w:rsidRPr="009E4CF0" w:rsidRDefault="00C933BB" w:rsidP="00B57BD2">
      <w:pPr>
        <w:pStyle w:val="BodyText"/>
        <w:jc w:val="both"/>
        <w:rPr>
          <w:rFonts w:ascii="Sylfaen" w:hAnsi="Sylfaen"/>
          <w:b/>
          <w:sz w:val="20"/>
        </w:rPr>
      </w:pPr>
    </w:p>
    <w:p w:rsidR="00C933BB" w:rsidRPr="009E4CF0" w:rsidRDefault="00C933BB" w:rsidP="00B57BD2">
      <w:pPr>
        <w:pStyle w:val="BodyText"/>
        <w:jc w:val="both"/>
        <w:rPr>
          <w:rFonts w:ascii="Sylfaen" w:hAnsi="Sylfaen"/>
          <w:b/>
          <w:sz w:val="20"/>
        </w:rPr>
      </w:pPr>
    </w:p>
    <w:p w:rsidR="00C933BB" w:rsidRPr="009E4CF0" w:rsidRDefault="00C933BB" w:rsidP="00B57BD2">
      <w:pPr>
        <w:pStyle w:val="BodyText"/>
        <w:jc w:val="both"/>
        <w:rPr>
          <w:rFonts w:ascii="Sylfaen" w:hAnsi="Sylfaen"/>
          <w:b/>
          <w:sz w:val="20"/>
        </w:rPr>
      </w:pPr>
    </w:p>
    <w:p w:rsidR="00C933BB" w:rsidRPr="009E4CF0" w:rsidRDefault="00C933BB" w:rsidP="00B57BD2">
      <w:pPr>
        <w:pStyle w:val="BodyText"/>
        <w:jc w:val="both"/>
        <w:rPr>
          <w:rFonts w:ascii="Sylfaen" w:hAnsi="Sylfaen"/>
          <w:b/>
          <w:sz w:val="20"/>
        </w:rPr>
      </w:pPr>
    </w:p>
    <w:p w:rsidR="00C933BB" w:rsidRPr="009E4CF0" w:rsidRDefault="00C933BB" w:rsidP="00B57BD2">
      <w:pPr>
        <w:pStyle w:val="BodyText"/>
        <w:jc w:val="both"/>
        <w:rPr>
          <w:rFonts w:ascii="Sylfaen" w:hAnsi="Sylfaen"/>
          <w:b/>
          <w:sz w:val="20"/>
        </w:rPr>
      </w:pPr>
    </w:p>
    <w:p w:rsidR="00C933BB" w:rsidRPr="009E4CF0" w:rsidRDefault="00C933BB" w:rsidP="00B57BD2">
      <w:pPr>
        <w:pStyle w:val="BodyText"/>
        <w:jc w:val="both"/>
        <w:rPr>
          <w:rFonts w:ascii="Sylfaen" w:hAnsi="Sylfaen"/>
          <w:b/>
          <w:sz w:val="20"/>
        </w:rPr>
      </w:pPr>
    </w:p>
    <w:p w:rsidR="00C933BB" w:rsidRPr="009E4CF0" w:rsidRDefault="00C933BB" w:rsidP="00B57BD2">
      <w:pPr>
        <w:pStyle w:val="BodyText"/>
        <w:jc w:val="both"/>
        <w:rPr>
          <w:rFonts w:ascii="Sylfaen" w:hAnsi="Sylfaen"/>
          <w:b/>
          <w:sz w:val="20"/>
        </w:rPr>
      </w:pPr>
    </w:p>
    <w:p w:rsidR="00C933BB" w:rsidRPr="009E4CF0" w:rsidRDefault="00C933BB" w:rsidP="00B57BD2">
      <w:pPr>
        <w:pStyle w:val="BodyText"/>
        <w:jc w:val="both"/>
        <w:rPr>
          <w:rFonts w:ascii="Sylfaen" w:hAnsi="Sylfaen"/>
          <w:b/>
          <w:sz w:val="20"/>
        </w:rPr>
      </w:pPr>
    </w:p>
    <w:p w:rsidR="00C933BB" w:rsidRPr="009E4CF0" w:rsidRDefault="00C933BB" w:rsidP="00B57BD2">
      <w:pPr>
        <w:pStyle w:val="BodyText"/>
        <w:jc w:val="both"/>
        <w:rPr>
          <w:rFonts w:ascii="Sylfaen" w:hAnsi="Sylfaen"/>
          <w:b/>
          <w:sz w:val="20"/>
        </w:rPr>
      </w:pPr>
    </w:p>
    <w:p w:rsidR="00C933BB" w:rsidRPr="009E4CF0" w:rsidRDefault="00C933BB" w:rsidP="00B57BD2">
      <w:pPr>
        <w:pStyle w:val="BodyText"/>
        <w:jc w:val="both"/>
        <w:rPr>
          <w:rFonts w:ascii="Sylfaen" w:hAnsi="Sylfaen"/>
          <w:b/>
          <w:sz w:val="20"/>
        </w:rPr>
      </w:pPr>
    </w:p>
    <w:p w:rsidR="00C933BB" w:rsidRPr="009E4CF0" w:rsidRDefault="00C933BB" w:rsidP="00B57BD2">
      <w:pPr>
        <w:pStyle w:val="BodyText"/>
        <w:jc w:val="both"/>
        <w:rPr>
          <w:rFonts w:ascii="Sylfaen" w:hAnsi="Sylfaen"/>
          <w:b/>
          <w:sz w:val="20"/>
        </w:rPr>
      </w:pPr>
    </w:p>
    <w:p w:rsidR="00C933BB" w:rsidRPr="009E4CF0" w:rsidRDefault="00C933BB" w:rsidP="00B57BD2">
      <w:pPr>
        <w:pStyle w:val="BodyText"/>
        <w:spacing w:before="7"/>
        <w:jc w:val="both"/>
        <w:rPr>
          <w:rFonts w:ascii="Sylfaen" w:hAnsi="Sylfaen"/>
          <w:b/>
          <w:sz w:val="28"/>
        </w:rPr>
      </w:pPr>
    </w:p>
    <w:p w:rsidR="00C933BB" w:rsidRPr="009E4CF0" w:rsidRDefault="00D12A93" w:rsidP="00B57BD2">
      <w:pPr>
        <w:spacing w:before="94"/>
        <w:ind w:right="103"/>
        <w:jc w:val="both"/>
        <w:rPr>
          <w:rFonts w:ascii="Sylfaen" w:hAnsi="Sylfaen"/>
          <w:sz w:val="16"/>
        </w:rPr>
      </w:pPr>
      <w:r w:rsidRPr="009E4CF0">
        <w:rPr>
          <w:rFonts w:ascii="Sylfaen" w:hAnsi="Sylfaen"/>
          <w:w w:val="99"/>
          <w:sz w:val="16"/>
        </w:rPr>
        <w:t>1</w:t>
      </w:r>
    </w:p>
    <w:p w:rsidR="00C933BB" w:rsidRPr="009E4CF0" w:rsidRDefault="00C933BB" w:rsidP="00B57BD2">
      <w:pPr>
        <w:jc w:val="both"/>
        <w:rPr>
          <w:rFonts w:ascii="Sylfaen" w:hAnsi="Sylfaen"/>
          <w:sz w:val="16"/>
        </w:rPr>
        <w:sectPr w:rsidR="00C933BB" w:rsidRPr="009E4CF0" w:rsidSect="00B57BD2">
          <w:type w:val="continuous"/>
          <w:pgSz w:w="11910" w:h="16840"/>
          <w:pgMar w:top="1580" w:right="1137" w:bottom="280" w:left="1300" w:header="720" w:footer="720" w:gutter="0"/>
          <w:cols w:space="720"/>
        </w:sectPr>
      </w:pPr>
    </w:p>
    <w:p w:rsidR="00C933BB" w:rsidRPr="009E4CF0" w:rsidRDefault="00D12A93" w:rsidP="00B57BD2">
      <w:pPr>
        <w:pStyle w:val="Heading1"/>
        <w:numPr>
          <w:ilvl w:val="0"/>
          <w:numId w:val="1"/>
        </w:numPr>
        <w:tabs>
          <w:tab w:val="left" w:pos="682"/>
          <w:tab w:val="left" w:pos="683"/>
        </w:tabs>
        <w:spacing w:before="80"/>
        <w:ind w:hanging="568"/>
        <w:jc w:val="both"/>
        <w:rPr>
          <w:rFonts w:ascii="Sylfaen" w:hAnsi="Sylfaen"/>
        </w:rPr>
      </w:pPr>
      <w:r w:rsidRPr="009E4CF0">
        <w:rPr>
          <w:rFonts w:ascii="Sylfaen" w:hAnsi="Sylfaen"/>
        </w:rPr>
        <w:lastRenderedPageBreak/>
        <w:t>სამკურნალო პრეპარატის დასახელება</w:t>
      </w:r>
    </w:p>
    <w:p w:rsidR="00C933BB" w:rsidRPr="009E4CF0" w:rsidRDefault="00C933BB" w:rsidP="00B57BD2">
      <w:pPr>
        <w:pStyle w:val="BodyText"/>
        <w:spacing w:before="4"/>
        <w:jc w:val="both"/>
        <w:rPr>
          <w:rFonts w:ascii="Sylfaen" w:hAnsi="Sylfaen"/>
          <w:b/>
          <w:sz w:val="21"/>
        </w:rPr>
      </w:pPr>
    </w:p>
    <w:p w:rsidR="00C933BB" w:rsidRPr="009E4CF0" w:rsidRDefault="00D12A93" w:rsidP="00A9068F">
      <w:pPr>
        <w:pStyle w:val="BodyText"/>
        <w:spacing w:before="1"/>
        <w:ind w:left="115" w:right="10"/>
        <w:jc w:val="both"/>
        <w:rPr>
          <w:rFonts w:ascii="Sylfaen" w:hAnsi="Sylfaen"/>
        </w:rPr>
      </w:pPr>
      <w:r w:rsidRPr="009E4CF0">
        <w:rPr>
          <w:rFonts w:ascii="Sylfaen" w:hAnsi="Sylfaen"/>
        </w:rPr>
        <w:t>AstraZeneca-ს COVID-19 ვაქცინა, საინექციო ხსნარი მრავალდოზიან კონტეინერში COVID-19-ის ვაქცინა (ChAdOx1-S [რეკომბინანტი])</w:t>
      </w:r>
    </w:p>
    <w:p w:rsidR="00C933BB" w:rsidRPr="009E4CF0" w:rsidRDefault="00C933BB" w:rsidP="00B57BD2">
      <w:pPr>
        <w:pStyle w:val="BodyText"/>
        <w:spacing w:before="10"/>
        <w:jc w:val="both"/>
        <w:rPr>
          <w:rFonts w:ascii="Sylfaen" w:hAnsi="Sylfaen"/>
          <w:sz w:val="21"/>
        </w:rPr>
      </w:pPr>
    </w:p>
    <w:p w:rsidR="00C933BB" w:rsidRPr="009E4CF0" w:rsidRDefault="00D12A93" w:rsidP="00B57BD2">
      <w:pPr>
        <w:pStyle w:val="BodyText"/>
        <w:spacing w:before="1"/>
        <w:ind w:left="115"/>
        <w:jc w:val="both"/>
        <w:rPr>
          <w:rFonts w:ascii="Sylfaen" w:hAnsi="Sylfaen"/>
        </w:rPr>
      </w:pPr>
      <w:r w:rsidRPr="009E4CF0">
        <w:rPr>
          <w:rFonts w:ascii="Sylfaen" w:hAnsi="Sylfaen"/>
        </w:rPr>
        <w:t>ვაქცინა აკმაყოფილებს ჯანმრთელობის მსოფლიო ორგანიზაციის მიერ COVID-19-ის ვაქცინის მიმართ  წაყენებულ მოთხოვნებს.</w:t>
      </w:r>
    </w:p>
    <w:p w:rsidR="00C933BB" w:rsidRPr="009E4CF0" w:rsidRDefault="00C933BB" w:rsidP="00B57BD2">
      <w:pPr>
        <w:pStyle w:val="BodyText"/>
        <w:jc w:val="both"/>
        <w:rPr>
          <w:rFonts w:ascii="Sylfaen" w:hAnsi="Sylfaen"/>
          <w:sz w:val="24"/>
        </w:rPr>
      </w:pPr>
    </w:p>
    <w:p w:rsidR="00C933BB" w:rsidRPr="009E4CF0" w:rsidRDefault="00C933BB" w:rsidP="00B57BD2">
      <w:pPr>
        <w:pStyle w:val="BodyText"/>
        <w:spacing w:before="8"/>
        <w:jc w:val="both"/>
        <w:rPr>
          <w:rFonts w:ascii="Sylfaen" w:hAnsi="Sylfaen"/>
          <w:sz w:val="20"/>
        </w:rPr>
      </w:pPr>
    </w:p>
    <w:p w:rsidR="00C933BB" w:rsidRPr="009E4CF0" w:rsidRDefault="00D12A93" w:rsidP="00B57BD2">
      <w:pPr>
        <w:pStyle w:val="Heading1"/>
        <w:numPr>
          <w:ilvl w:val="0"/>
          <w:numId w:val="1"/>
        </w:numPr>
        <w:tabs>
          <w:tab w:val="left" w:pos="682"/>
          <w:tab w:val="left" w:pos="683"/>
        </w:tabs>
        <w:spacing w:before="1"/>
        <w:ind w:hanging="568"/>
        <w:jc w:val="both"/>
        <w:rPr>
          <w:rFonts w:ascii="Sylfaen" w:hAnsi="Sylfaen"/>
        </w:rPr>
      </w:pPr>
      <w:r w:rsidRPr="009E4CF0">
        <w:rPr>
          <w:rFonts w:ascii="Sylfaen" w:hAnsi="Sylfaen"/>
        </w:rPr>
        <w:t>თვისობრივი და რაოდენობრივი შემადგენლობა</w:t>
      </w:r>
    </w:p>
    <w:p w:rsidR="00C933BB" w:rsidRPr="009E4CF0" w:rsidRDefault="00C933BB" w:rsidP="00B57BD2">
      <w:pPr>
        <w:pStyle w:val="BodyText"/>
        <w:spacing w:before="4"/>
        <w:jc w:val="both"/>
        <w:rPr>
          <w:rFonts w:ascii="Sylfaen" w:hAnsi="Sylfaen"/>
          <w:b/>
          <w:sz w:val="21"/>
        </w:rPr>
      </w:pPr>
    </w:p>
    <w:p w:rsidR="00C933BB" w:rsidRPr="009E4CF0" w:rsidRDefault="00D12A93" w:rsidP="00B57BD2">
      <w:pPr>
        <w:pStyle w:val="BodyText"/>
        <w:ind w:left="115"/>
        <w:jc w:val="both"/>
        <w:rPr>
          <w:rFonts w:ascii="Sylfaen" w:hAnsi="Sylfaen"/>
        </w:rPr>
      </w:pPr>
      <w:r w:rsidRPr="009E4CF0">
        <w:rPr>
          <w:rFonts w:ascii="Sylfaen" w:hAnsi="Sylfaen"/>
        </w:rPr>
        <w:t>ერთი დოზა (0.5 მლ) შეიცავს:</w:t>
      </w:r>
    </w:p>
    <w:p w:rsidR="00C933BB" w:rsidRPr="009E4CF0" w:rsidRDefault="00D12A93" w:rsidP="00A9068F">
      <w:pPr>
        <w:pStyle w:val="BodyText"/>
        <w:spacing w:before="4" w:line="237" w:lineRule="auto"/>
        <w:ind w:left="115" w:right="-25"/>
        <w:jc w:val="both"/>
        <w:rPr>
          <w:rFonts w:ascii="Sylfaen" w:hAnsi="Sylfaen"/>
        </w:rPr>
      </w:pPr>
      <w:r w:rsidRPr="009E4CF0">
        <w:rPr>
          <w:rFonts w:ascii="Sylfaen" w:hAnsi="Sylfaen"/>
        </w:rPr>
        <w:t>COVID-19 -ის ვაქცინას ((ChAdOx1-S</w:t>
      </w:r>
      <w:r w:rsidRPr="009E4CF0">
        <w:rPr>
          <w:rFonts w:ascii="Sylfaen" w:hAnsi="Sylfaen"/>
          <w:vertAlign w:val="superscript"/>
        </w:rPr>
        <w:t>*</w:t>
      </w:r>
      <w:r w:rsidRPr="009E4CF0">
        <w:rPr>
          <w:rFonts w:ascii="Sylfaen" w:hAnsi="Sylfaen"/>
        </w:rPr>
        <w:t xml:space="preserve"> რეკომბინანტს), 2.5 × 10</w:t>
      </w:r>
      <w:r w:rsidRPr="009E4CF0">
        <w:rPr>
          <w:rFonts w:ascii="Sylfaen" w:hAnsi="Sylfaen"/>
          <w:vertAlign w:val="superscript"/>
        </w:rPr>
        <w:t>8</w:t>
      </w:r>
      <w:r w:rsidRPr="009E4CF0">
        <w:rPr>
          <w:rFonts w:ascii="Sylfaen" w:hAnsi="Sylfaen"/>
        </w:rPr>
        <w:t xml:space="preserve"> ინფექციურ ერთეულს (ინფ. ერთ.) რაც შეესაბამება  5 × 10</w:t>
      </w:r>
      <w:r w:rsidRPr="009E4CF0">
        <w:rPr>
          <w:rFonts w:ascii="Sylfaen" w:hAnsi="Sylfaen"/>
          <w:vertAlign w:val="superscript"/>
        </w:rPr>
        <w:t>10</w:t>
      </w:r>
      <w:r w:rsidRPr="009E4CF0">
        <w:rPr>
          <w:rFonts w:ascii="Sylfaen" w:hAnsi="Sylfaen"/>
        </w:rPr>
        <w:t xml:space="preserve"> ვირუსულ ნაწილაკს (ვნ)</w:t>
      </w:r>
    </w:p>
    <w:p w:rsidR="00C933BB" w:rsidRPr="009E4CF0" w:rsidRDefault="00C933BB" w:rsidP="00B57BD2">
      <w:pPr>
        <w:pStyle w:val="BodyText"/>
        <w:spacing w:before="8"/>
        <w:jc w:val="both"/>
        <w:rPr>
          <w:rFonts w:ascii="Sylfaen" w:hAnsi="Sylfaen"/>
        </w:rPr>
      </w:pPr>
    </w:p>
    <w:p w:rsidR="00C933BB" w:rsidRPr="009E4CF0" w:rsidRDefault="00F54A35" w:rsidP="00B57BD2">
      <w:pPr>
        <w:pStyle w:val="BodyText"/>
        <w:spacing w:line="266" w:lineRule="exact"/>
        <w:ind w:left="115"/>
        <w:jc w:val="both"/>
        <w:rPr>
          <w:rFonts w:ascii="Sylfaen" w:hAnsi="Sylfaen"/>
        </w:rPr>
      </w:pPr>
      <w:r>
        <w:rPr>
          <w:rFonts w:ascii="Sylfaen" w:hAnsi="Sylfaen"/>
        </w:rPr>
        <w:t>რეკომბინანტული</w:t>
      </w:r>
      <w:r w:rsidRPr="009E4CF0">
        <w:rPr>
          <w:rFonts w:ascii="Sylfaen" w:hAnsi="Sylfaen"/>
        </w:rPr>
        <w:t xml:space="preserve">, </w:t>
      </w:r>
      <w:r w:rsidR="00D12A93" w:rsidRPr="009E4CF0">
        <w:rPr>
          <w:rFonts w:ascii="Sylfaen" w:hAnsi="Sylfaen"/>
        </w:rPr>
        <w:t xml:space="preserve">შიმპანზეს ადენოვირუსის რეპლიკაციურ-დეფექტური ვექტორი, რომელიც ახდენს SARS-CoV-2-ის </w:t>
      </w:r>
      <w:r>
        <w:rPr>
          <w:rFonts w:ascii="Sylfaen" w:hAnsi="Sylfaen"/>
        </w:rPr>
        <w:t>სპაიკის</w:t>
      </w:r>
      <w:r w:rsidRPr="009E4CF0">
        <w:rPr>
          <w:rFonts w:ascii="Sylfaen" w:hAnsi="Sylfaen"/>
        </w:rPr>
        <w:t xml:space="preserve"> </w:t>
      </w:r>
    </w:p>
    <w:p w:rsidR="00C933BB" w:rsidRPr="009E4CF0" w:rsidRDefault="00D12A93" w:rsidP="00B57BD2">
      <w:pPr>
        <w:pStyle w:val="BodyText"/>
        <w:spacing w:line="250" w:lineRule="exact"/>
        <w:ind w:left="115"/>
        <w:jc w:val="both"/>
        <w:rPr>
          <w:rFonts w:ascii="Sylfaen" w:hAnsi="Sylfaen"/>
        </w:rPr>
      </w:pPr>
      <w:r w:rsidRPr="009E4CF0">
        <w:rPr>
          <w:rFonts w:ascii="Sylfaen" w:hAnsi="Sylfaen"/>
        </w:rPr>
        <w:t>(S) გლიკოპროტეინი</w:t>
      </w:r>
      <w:r w:rsidR="00295566">
        <w:rPr>
          <w:rFonts w:ascii="Sylfaen" w:hAnsi="Sylfaen"/>
        </w:rPr>
        <w:t xml:space="preserve">ს </w:t>
      </w:r>
      <w:r w:rsidR="00295566" w:rsidRPr="009E4CF0">
        <w:rPr>
          <w:rFonts w:ascii="Sylfaen" w:hAnsi="Sylfaen"/>
        </w:rPr>
        <w:t>კოდირებას</w:t>
      </w:r>
      <w:r w:rsidRPr="009E4CF0">
        <w:rPr>
          <w:rFonts w:ascii="Sylfaen" w:hAnsi="Sylfaen"/>
        </w:rPr>
        <w:t>. წარმოებულია გენეტიკურად მოდიფიცირებული ადამიანის ემბრიონის თირკმლის (HEK) 293 უჯრედში.</w:t>
      </w:r>
    </w:p>
    <w:p w:rsidR="00C933BB" w:rsidRPr="009E4CF0" w:rsidRDefault="00C933BB" w:rsidP="00B57BD2">
      <w:pPr>
        <w:pStyle w:val="BodyText"/>
        <w:spacing w:before="9"/>
        <w:jc w:val="both"/>
        <w:rPr>
          <w:rFonts w:ascii="Sylfaen" w:hAnsi="Sylfaen"/>
          <w:sz w:val="21"/>
        </w:rPr>
      </w:pPr>
    </w:p>
    <w:p w:rsidR="00C933BB" w:rsidRPr="009E4CF0" w:rsidRDefault="00D12A93" w:rsidP="00A9068F">
      <w:pPr>
        <w:pStyle w:val="BodyText"/>
        <w:spacing w:line="482" w:lineRule="auto"/>
        <w:ind w:left="115" w:right="-25"/>
        <w:jc w:val="both"/>
        <w:rPr>
          <w:rFonts w:ascii="Sylfaen" w:hAnsi="Sylfaen"/>
        </w:rPr>
      </w:pPr>
      <w:r w:rsidRPr="009E4CF0">
        <w:rPr>
          <w:rFonts w:ascii="Sylfaen" w:hAnsi="Sylfaen"/>
        </w:rPr>
        <w:t xml:space="preserve">ეს პროდუქტი შეიცავს </w:t>
      </w:r>
      <w:r w:rsidRPr="00295566">
        <w:rPr>
          <w:rFonts w:ascii="Sylfaen" w:hAnsi="Sylfaen"/>
        </w:rPr>
        <w:t>გენეტიკურად მოდიფიცირებულ ორგანიზმებს</w:t>
      </w:r>
      <w:r w:rsidRPr="009E4CF0">
        <w:rPr>
          <w:rFonts w:ascii="Sylfaen" w:hAnsi="Sylfaen"/>
        </w:rPr>
        <w:t xml:space="preserve"> (გმო). კომპონენტების სრული ჩამონათვალი იხილეთ ნაწილში 6.1</w:t>
      </w:r>
    </w:p>
    <w:p w:rsidR="00C933BB" w:rsidRPr="009E4CF0" w:rsidRDefault="00C933BB" w:rsidP="00B57BD2">
      <w:pPr>
        <w:pStyle w:val="BodyText"/>
        <w:spacing w:before="2"/>
        <w:jc w:val="both"/>
        <w:rPr>
          <w:rFonts w:ascii="Sylfaen" w:hAnsi="Sylfaen"/>
        </w:rPr>
      </w:pPr>
    </w:p>
    <w:p w:rsidR="00C933BB" w:rsidRPr="009E4CF0" w:rsidRDefault="00D12A93" w:rsidP="00B57BD2">
      <w:pPr>
        <w:pStyle w:val="Heading1"/>
        <w:numPr>
          <w:ilvl w:val="0"/>
          <w:numId w:val="1"/>
        </w:numPr>
        <w:tabs>
          <w:tab w:val="left" w:pos="682"/>
          <w:tab w:val="left" w:pos="683"/>
        </w:tabs>
        <w:ind w:hanging="568"/>
        <w:jc w:val="both"/>
        <w:rPr>
          <w:rFonts w:ascii="Sylfaen" w:hAnsi="Sylfaen"/>
        </w:rPr>
      </w:pPr>
      <w:r w:rsidRPr="009E4CF0">
        <w:rPr>
          <w:rFonts w:ascii="Sylfaen" w:hAnsi="Sylfaen"/>
        </w:rPr>
        <w:t>ფარმაცევტული ფორმა</w:t>
      </w:r>
    </w:p>
    <w:p w:rsidR="00C933BB" w:rsidRPr="009E4CF0" w:rsidRDefault="00C933BB" w:rsidP="00B57BD2">
      <w:pPr>
        <w:pStyle w:val="BodyText"/>
        <w:spacing w:before="5"/>
        <w:jc w:val="both"/>
        <w:rPr>
          <w:rFonts w:ascii="Sylfaen" w:hAnsi="Sylfaen"/>
          <w:b/>
          <w:sz w:val="21"/>
        </w:rPr>
      </w:pPr>
    </w:p>
    <w:p w:rsidR="00C933BB" w:rsidRPr="009E4CF0" w:rsidRDefault="00D12A93" w:rsidP="00B57BD2">
      <w:pPr>
        <w:pStyle w:val="BodyText"/>
        <w:ind w:left="115"/>
        <w:jc w:val="both"/>
        <w:rPr>
          <w:rFonts w:ascii="Sylfaen" w:hAnsi="Sylfaen"/>
        </w:rPr>
      </w:pPr>
      <w:r w:rsidRPr="009E4CF0">
        <w:rPr>
          <w:rFonts w:ascii="Sylfaen" w:hAnsi="Sylfaen"/>
        </w:rPr>
        <w:t>საინექციო ხსნარი.</w:t>
      </w:r>
    </w:p>
    <w:p w:rsidR="00C933BB" w:rsidRPr="009E4CF0" w:rsidRDefault="00C933BB" w:rsidP="00B57BD2">
      <w:pPr>
        <w:pStyle w:val="BodyText"/>
        <w:spacing w:before="10"/>
        <w:jc w:val="both"/>
        <w:rPr>
          <w:rFonts w:ascii="Sylfaen" w:hAnsi="Sylfaen"/>
          <w:sz w:val="21"/>
        </w:rPr>
      </w:pPr>
    </w:p>
    <w:p w:rsidR="00C933BB" w:rsidRPr="009E4CF0" w:rsidRDefault="00D12A93" w:rsidP="00B57BD2">
      <w:pPr>
        <w:pStyle w:val="BodyText"/>
        <w:ind w:left="115"/>
        <w:jc w:val="both"/>
        <w:rPr>
          <w:rFonts w:ascii="Sylfaen" w:hAnsi="Sylfaen"/>
        </w:rPr>
      </w:pPr>
      <w:r w:rsidRPr="009E4CF0">
        <w:rPr>
          <w:rFonts w:ascii="Sylfaen" w:hAnsi="Sylfaen"/>
        </w:rPr>
        <w:t>ხსნ</w:t>
      </w:r>
      <w:r w:rsidR="007503AE" w:rsidRPr="009E4CF0">
        <w:rPr>
          <w:rFonts w:ascii="Sylfaen" w:hAnsi="Sylfaen"/>
        </w:rPr>
        <w:t xml:space="preserve">არი </w:t>
      </w:r>
      <w:r w:rsidR="00295566">
        <w:rPr>
          <w:rFonts w:ascii="Sylfaen" w:hAnsi="Sylfaen"/>
        </w:rPr>
        <w:t>არს</w:t>
      </w:r>
      <w:r w:rsidR="00295566" w:rsidRPr="009E4CF0">
        <w:rPr>
          <w:rFonts w:ascii="Sylfaen" w:hAnsi="Sylfaen"/>
        </w:rPr>
        <w:t xml:space="preserve"> </w:t>
      </w:r>
      <w:r w:rsidR="007503AE" w:rsidRPr="009E4CF0">
        <w:rPr>
          <w:rFonts w:ascii="Sylfaen" w:hAnsi="Sylfaen"/>
        </w:rPr>
        <w:t xml:space="preserve">უფერო ან </w:t>
      </w:r>
      <w:r w:rsidRPr="009E4CF0">
        <w:rPr>
          <w:rFonts w:ascii="Sylfaen" w:hAnsi="Sylfaen"/>
        </w:rPr>
        <w:t>ღია ყავისფერ</w:t>
      </w:r>
      <w:r w:rsidR="007503AE" w:rsidRPr="009E4CF0">
        <w:rPr>
          <w:rFonts w:ascii="Sylfaen" w:hAnsi="Sylfaen"/>
        </w:rPr>
        <w:t>ი</w:t>
      </w:r>
      <w:r w:rsidRPr="009E4CF0">
        <w:rPr>
          <w:rFonts w:ascii="Sylfaen" w:hAnsi="Sylfaen"/>
        </w:rPr>
        <w:t>, გამჭვირვალე</w:t>
      </w:r>
      <w:r w:rsidR="007503AE" w:rsidRPr="009E4CF0">
        <w:rPr>
          <w:rFonts w:ascii="Sylfaen" w:hAnsi="Sylfaen"/>
        </w:rPr>
        <w:t xml:space="preserve"> ან </w:t>
      </w:r>
      <w:r w:rsidRPr="009E4CF0">
        <w:rPr>
          <w:rFonts w:ascii="Sylfaen" w:hAnsi="Sylfaen"/>
        </w:rPr>
        <w:t>ოდნავ მღვრიე, ნაწილაკების გარეშე, pH 6.6.</w:t>
      </w:r>
    </w:p>
    <w:p w:rsidR="00C933BB" w:rsidRPr="009E4CF0" w:rsidRDefault="00C933BB" w:rsidP="00B57BD2">
      <w:pPr>
        <w:pStyle w:val="BodyText"/>
        <w:jc w:val="both"/>
        <w:rPr>
          <w:rFonts w:ascii="Sylfaen" w:hAnsi="Sylfaen"/>
          <w:sz w:val="24"/>
        </w:rPr>
      </w:pPr>
    </w:p>
    <w:p w:rsidR="00C933BB" w:rsidRPr="009E4CF0" w:rsidRDefault="00C933BB" w:rsidP="00B57BD2">
      <w:pPr>
        <w:pStyle w:val="BodyText"/>
        <w:spacing w:before="9"/>
        <w:jc w:val="both"/>
        <w:rPr>
          <w:rFonts w:ascii="Sylfaen" w:hAnsi="Sylfaen"/>
          <w:sz w:val="20"/>
        </w:rPr>
      </w:pPr>
    </w:p>
    <w:p w:rsidR="00C933BB" w:rsidRPr="009E4CF0" w:rsidRDefault="00D12A93" w:rsidP="00B57BD2">
      <w:pPr>
        <w:pStyle w:val="Heading1"/>
        <w:numPr>
          <w:ilvl w:val="0"/>
          <w:numId w:val="1"/>
        </w:numPr>
        <w:tabs>
          <w:tab w:val="left" w:pos="682"/>
          <w:tab w:val="left" w:pos="683"/>
        </w:tabs>
        <w:ind w:hanging="568"/>
        <w:jc w:val="both"/>
        <w:rPr>
          <w:rFonts w:ascii="Sylfaen" w:hAnsi="Sylfaen"/>
        </w:rPr>
      </w:pPr>
      <w:r w:rsidRPr="009E4CF0">
        <w:rPr>
          <w:rFonts w:ascii="Sylfaen" w:hAnsi="Sylfaen"/>
        </w:rPr>
        <w:t>კლინიკური თავისებურებები</w:t>
      </w:r>
    </w:p>
    <w:p w:rsidR="00C933BB" w:rsidRPr="009E4CF0" w:rsidRDefault="00C933BB" w:rsidP="00B57BD2">
      <w:pPr>
        <w:pStyle w:val="BodyText"/>
        <w:spacing w:before="9"/>
        <w:jc w:val="both"/>
        <w:rPr>
          <w:rFonts w:ascii="Sylfaen" w:hAnsi="Sylfaen"/>
          <w:b/>
          <w:sz w:val="21"/>
        </w:rPr>
      </w:pPr>
    </w:p>
    <w:p w:rsidR="00C933BB" w:rsidRPr="009E4CF0" w:rsidRDefault="00D12A93" w:rsidP="00B57BD2">
      <w:pPr>
        <w:pStyle w:val="ListParagraph"/>
        <w:numPr>
          <w:ilvl w:val="1"/>
          <w:numId w:val="1"/>
        </w:numPr>
        <w:tabs>
          <w:tab w:val="left" w:pos="682"/>
          <w:tab w:val="left" w:pos="683"/>
        </w:tabs>
        <w:ind w:hanging="568"/>
        <w:jc w:val="both"/>
        <w:rPr>
          <w:rFonts w:ascii="Sylfaen" w:hAnsi="Sylfaen"/>
          <w:b/>
        </w:rPr>
      </w:pPr>
      <w:r w:rsidRPr="009E4CF0">
        <w:rPr>
          <w:rFonts w:ascii="Sylfaen" w:hAnsi="Sylfaen"/>
          <w:b/>
        </w:rPr>
        <w:t>თერაპიული ჩვენებები</w:t>
      </w:r>
    </w:p>
    <w:p w:rsidR="00C933BB" w:rsidRPr="009E4CF0" w:rsidRDefault="00C933BB" w:rsidP="00B57BD2">
      <w:pPr>
        <w:pStyle w:val="BodyText"/>
        <w:spacing w:before="5"/>
        <w:jc w:val="both"/>
        <w:rPr>
          <w:rFonts w:ascii="Sylfaen" w:hAnsi="Sylfaen"/>
          <w:b/>
          <w:sz w:val="21"/>
        </w:rPr>
      </w:pPr>
    </w:p>
    <w:p w:rsidR="00C933BB" w:rsidRPr="009E4CF0" w:rsidRDefault="00D12A93" w:rsidP="00B57BD2">
      <w:pPr>
        <w:pStyle w:val="BodyText"/>
        <w:ind w:left="115" w:right="189"/>
        <w:jc w:val="both"/>
        <w:rPr>
          <w:rFonts w:ascii="Sylfaen" w:hAnsi="Sylfaen"/>
        </w:rPr>
      </w:pPr>
      <w:r w:rsidRPr="009E4CF0">
        <w:rPr>
          <w:rFonts w:ascii="Sylfaen" w:hAnsi="Sylfaen"/>
        </w:rPr>
        <w:t>AstraZeneca-ს COVID-19 ვაქცინა ნაჩვენებია 18 და უფროსი ასაკის პირების აქტიური იმუნიზაციისთვის 2019 წლის კორონავირუსის დაავადების (COVID-19) პრევენციის მიზნით (იხილეთ ნაწილი 4.4 და 5.1)</w:t>
      </w:r>
    </w:p>
    <w:p w:rsidR="00C933BB" w:rsidRPr="009E4CF0" w:rsidRDefault="00C933BB" w:rsidP="00B57BD2">
      <w:pPr>
        <w:pStyle w:val="BodyText"/>
        <w:spacing w:before="1"/>
        <w:jc w:val="both"/>
        <w:rPr>
          <w:rFonts w:ascii="Sylfaen" w:hAnsi="Sylfaen"/>
          <w:sz w:val="21"/>
        </w:rPr>
      </w:pPr>
    </w:p>
    <w:p w:rsidR="00C933BB" w:rsidRPr="009E4CF0" w:rsidRDefault="00D12A93" w:rsidP="00B57BD2">
      <w:pPr>
        <w:pStyle w:val="BodyText"/>
        <w:ind w:left="115"/>
        <w:jc w:val="both"/>
        <w:rPr>
          <w:rFonts w:ascii="Sylfaen" w:hAnsi="Sylfaen"/>
        </w:rPr>
      </w:pPr>
      <w:r w:rsidRPr="009E4CF0">
        <w:rPr>
          <w:rFonts w:ascii="Sylfaen" w:hAnsi="Sylfaen"/>
        </w:rPr>
        <w:t>ვაქცინის გამოყენება უნდა მოხდეს ოფიციალური რეკომენდაციების შესაბამისად.</w:t>
      </w:r>
    </w:p>
    <w:p w:rsidR="00C933BB" w:rsidRPr="009E4CF0" w:rsidRDefault="00C933BB" w:rsidP="00B57BD2">
      <w:pPr>
        <w:pStyle w:val="BodyText"/>
        <w:spacing w:before="5"/>
        <w:jc w:val="both"/>
        <w:rPr>
          <w:rFonts w:ascii="Sylfaen" w:hAnsi="Sylfaen"/>
          <w:sz w:val="21"/>
        </w:rPr>
      </w:pPr>
    </w:p>
    <w:p w:rsidR="00C933BB" w:rsidRPr="009E4CF0" w:rsidRDefault="00D12A93" w:rsidP="00B57BD2">
      <w:pPr>
        <w:pStyle w:val="Heading1"/>
        <w:numPr>
          <w:ilvl w:val="1"/>
          <w:numId w:val="1"/>
        </w:numPr>
        <w:tabs>
          <w:tab w:val="left" w:pos="682"/>
          <w:tab w:val="left" w:pos="683"/>
        </w:tabs>
        <w:ind w:hanging="568"/>
        <w:jc w:val="both"/>
        <w:rPr>
          <w:rFonts w:ascii="Sylfaen" w:hAnsi="Sylfaen"/>
        </w:rPr>
      </w:pPr>
      <w:r w:rsidRPr="009E4CF0">
        <w:rPr>
          <w:rFonts w:ascii="Sylfaen" w:hAnsi="Sylfaen"/>
        </w:rPr>
        <w:t>დოზირება და გამოყენების მეთოდი:</w:t>
      </w:r>
    </w:p>
    <w:p w:rsidR="007503AE" w:rsidRPr="009E4CF0" w:rsidRDefault="00D12A93" w:rsidP="00F54A35">
      <w:pPr>
        <w:pStyle w:val="BodyText"/>
        <w:spacing w:line="504" w:lineRule="exact"/>
        <w:ind w:left="115" w:right="-25"/>
        <w:jc w:val="both"/>
        <w:rPr>
          <w:rFonts w:ascii="Sylfaen" w:hAnsi="Sylfaen"/>
        </w:rPr>
      </w:pPr>
      <w:r w:rsidRPr="009E4CF0">
        <w:rPr>
          <w:rFonts w:ascii="Sylfaen" w:hAnsi="Sylfaen"/>
        </w:rPr>
        <w:t xml:space="preserve">AstraZeneca-ს COVID-19 ვაქცინა უნდა გააკეთოს შესაბამისი კვალიფიკაციის მქონე </w:t>
      </w:r>
      <w:r w:rsidR="00A9068F" w:rsidRPr="009E4CF0">
        <w:rPr>
          <w:rFonts w:ascii="Sylfaen" w:hAnsi="Sylfaen"/>
        </w:rPr>
        <w:t>მედიცინის</w:t>
      </w:r>
      <w:r w:rsidRPr="009E4CF0">
        <w:rPr>
          <w:rFonts w:ascii="Sylfaen" w:hAnsi="Sylfaen"/>
        </w:rPr>
        <w:t xml:space="preserve"> მუშაკმა. </w:t>
      </w:r>
    </w:p>
    <w:p w:rsidR="007503AE" w:rsidRPr="009E4CF0" w:rsidRDefault="00D12A93" w:rsidP="00B57BD2">
      <w:pPr>
        <w:pStyle w:val="BodyText"/>
        <w:spacing w:before="49" w:line="504" w:lineRule="exact"/>
        <w:ind w:left="115" w:right="909"/>
        <w:jc w:val="both"/>
        <w:rPr>
          <w:rFonts w:ascii="Sylfaen" w:hAnsi="Sylfaen"/>
          <w:u w:val="single"/>
        </w:rPr>
      </w:pPr>
      <w:r w:rsidRPr="009E4CF0">
        <w:rPr>
          <w:rFonts w:ascii="Sylfaen" w:hAnsi="Sylfaen"/>
          <w:u w:val="single"/>
        </w:rPr>
        <w:t>დოზირება</w:t>
      </w:r>
      <w:r w:rsidR="007503AE" w:rsidRPr="009E4CF0">
        <w:rPr>
          <w:rFonts w:ascii="Sylfaen" w:hAnsi="Sylfaen"/>
          <w:u w:val="single"/>
        </w:rPr>
        <w:t xml:space="preserve"> </w:t>
      </w:r>
    </w:p>
    <w:p w:rsidR="00C933BB" w:rsidRPr="009E4CF0" w:rsidRDefault="00D12A93" w:rsidP="00B57BD2">
      <w:pPr>
        <w:pStyle w:val="BodyText"/>
        <w:spacing w:before="49" w:line="504" w:lineRule="exact"/>
        <w:ind w:left="115" w:right="-25"/>
        <w:jc w:val="both"/>
        <w:rPr>
          <w:rFonts w:ascii="Sylfaen" w:hAnsi="Sylfaen"/>
        </w:rPr>
      </w:pPr>
      <w:r w:rsidRPr="009E4CF0">
        <w:rPr>
          <w:rFonts w:ascii="Sylfaen" w:hAnsi="Sylfaen"/>
        </w:rPr>
        <w:t xml:space="preserve">AstraZeneca-ს COVID-19 ვაქცინით ვაქცინაციის კურსი მოიცავს ორ </w:t>
      </w:r>
      <w:r w:rsidR="00B57BD2" w:rsidRPr="009C6F85">
        <w:rPr>
          <w:rFonts w:ascii="Sylfaen" w:hAnsi="Sylfaen"/>
        </w:rPr>
        <w:t>დ</w:t>
      </w:r>
      <w:r w:rsidRPr="009C6F85">
        <w:rPr>
          <w:rFonts w:ascii="Sylfaen" w:hAnsi="Sylfaen"/>
        </w:rPr>
        <w:t>ამოუკიდებელ</w:t>
      </w:r>
      <w:r w:rsidRPr="009E4CF0">
        <w:rPr>
          <w:rFonts w:ascii="Sylfaen" w:hAnsi="Sylfaen"/>
        </w:rPr>
        <w:t xml:space="preserve"> დოზას, </w:t>
      </w:r>
      <w:r w:rsidRPr="009E4CF0">
        <w:rPr>
          <w:rFonts w:ascii="Sylfaen" w:hAnsi="Sylfaen"/>
        </w:rPr>
        <w:lastRenderedPageBreak/>
        <w:t>თითოეული 0.5 მლ-ის</w:t>
      </w:r>
      <w:r w:rsidR="00B57BD2" w:rsidRPr="009E4CF0">
        <w:rPr>
          <w:rFonts w:ascii="Sylfaen" w:hAnsi="Sylfaen"/>
        </w:rPr>
        <w:t xml:space="preserve"> </w:t>
      </w:r>
      <w:r w:rsidRPr="009E4CF0">
        <w:rPr>
          <w:rFonts w:ascii="Sylfaen" w:hAnsi="Sylfaen"/>
        </w:rPr>
        <w:t>ოდენობით. მეორე დოზა უნდა გაკეთდეს პირველი დოზის გაკეთებიდან 4-12 კვირაში (იხ. ნაწილი 5.1)</w:t>
      </w:r>
    </w:p>
    <w:p w:rsidR="00C933BB" w:rsidRPr="009E4CF0" w:rsidRDefault="00C933BB" w:rsidP="00B57BD2">
      <w:pPr>
        <w:pStyle w:val="BodyText"/>
        <w:spacing w:before="2"/>
        <w:jc w:val="both"/>
        <w:rPr>
          <w:rFonts w:ascii="Sylfaen" w:hAnsi="Sylfaen"/>
        </w:rPr>
      </w:pPr>
    </w:p>
    <w:p w:rsidR="00C933BB" w:rsidRPr="009E4CF0" w:rsidRDefault="00D12A93" w:rsidP="00B57BD2">
      <w:pPr>
        <w:pStyle w:val="BodyText"/>
        <w:spacing w:before="1"/>
        <w:ind w:left="115" w:right="750"/>
        <w:jc w:val="both"/>
        <w:rPr>
          <w:rFonts w:ascii="Sylfaen" w:hAnsi="Sylfaen"/>
        </w:rPr>
      </w:pPr>
      <w:r w:rsidRPr="009E4CF0">
        <w:rPr>
          <w:rFonts w:ascii="Sylfaen" w:hAnsi="Sylfaen"/>
        </w:rPr>
        <w:t>რეკომენდებულია, რომ ადამიანებმა, რომლ</w:t>
      </w:r>
      <w:r w:rsidR="00B57BD2" w:rsidRPr="009E4CF0">
        <w:rPr>
          <w:rFonts w:ascii="Sylfaen" w:hAnsi="Sylfaen"/>
        </w:rPr>
        <w:t xml:space="preserve">ებსაც გაუკეთდებათ AstraZeneca-ს </w:t>
      </w:r>
      <w:r w:rsidRPr="009E4CF0">
        <w:rPr>
          <w:rFonts w:ascii="Sylfaen" w:hAnsi="Sylfaen"/>
        </w:rPr>
        <w:t>COVID-19 ვაქცინის პირველი დოზა, COVID-19 ვაქცინაციის კურსი დაასრულონ AstraZeneca-ს COVID-19 ვაქცინით (იხილეთ ნაწილი 4.4).</w:t>
      </w:r>
    </w:p>
    <w:p w:rsidR="00C933BB" w:rsidRPr="009E4CF0" w:rsidRDefault="00C933BB" w:rsidP="00B57BD2">
      <w:pPr>
        <w:pStyle w:val="BodyText"/>
        <w:spacing w:before="10"/>
        <w:jc w:val="both"/>
        <w:rPr>
          <w:rFonts w:ascii="Sylfaen" w:hAnsi="Sylfaen"/>
          <w:sz w:val="21"/>
        </w:rPr>
      </w:pPr>
    </w:p>
    <w:p w:rsidR="00C933BB" w:rsidRPr="009E4CF0" w:rsidRDefault="00D12A93" w:rsidP="00B57BD2">
      <w:pPr>
        <w:spacing w:before="1"/>
        <w:ind w:left="115"/>
        <w:jc w:val="both"/>
        <w:rPr>
          <w:rFonts w:ascii="Sylfaen" w:hAnsi="Sylfaen"/>
          <w:i/>
        </w:rPr>
      </w:pPr>
      <w:r w:rsidRPr="009E4CF0">
        <w:rPr>
          <w:rFonts w:ascii="Sylfaen" w:hAnsi="Sylfaen"/>
          <w:i/>
        </w:rPr>
        <w:t>ხანდაზმული პოპულაცია</w:t>
      </w:r>
    </w:p>
    <w:p w:rsidR="00C933BB" w:rsidRPr="009E4CF0" w:rsidRDefault="00D12A93" w:rsidP="00B57BD2">
      <w:pPr>
        <w:pStyle w:val="BodyText"/>
        <w:spacing w:before="1"/>
        <w:ind w:left="115"/>
        <w:jc w:val="both"/>
        <w:rPr>
          <w:rFonts w:ascii="Sylfaen" w:hAnsi="Sylfaen"/>
        </w:rPr>
      </w:pPr>
      <w:r w:rsidRPr="009E4CF0">
        <w:rPr>
          <w:rFonts w:ascii="Sylfaen" w:hAnsi="Sylfaen"/>
        </w:rPr>
        <w:t>65 წელს გადაცილებული ადამიანებისთვის დოზის კორექტირება საჭირო არ არის.</w:t>
      </w:r>
    </w:p>
    <w:p w:rsidR="00C933BB" w:rsidRPr="009E4CF0" w:rsidRDefault="00C933BB" w:rsidP="00B57BD2">
      <w:pPr>
        <w:pStyle w:val="BodyText"/>
        <w:spacing w:before="9"/>
        <w:jc w:val="both"/>
        <w:rPr>
          <w:rFonts w:ascii="Sylfaen" w:hAnsi="Sylfaen"/>
          <w:sz w:val="21"/>
        </w:rPr>
      </w:pPr>
    </w:p>
    <w:p w:rsidR="00C933BB" w:rsidRPr="009E4CF0" w:rsidRDefault="00D12A93" w:rsidP="00B57BD2">
      <w:pPr>
        <w:ind w:left="115"/>
        <w:jc w:val="both"/>
        <w:rPr>
          <w:rFonts w:ascii="Sylfaen" w:hAnsi="Sylfaen"/>
          <w:i/>
        </w:rPr>
      </w:pPr>
      <w:r w:rsidRPr="009E4CF0">
        <w:rPr>
          <w:rFonts w:ascii="Sylfaen" w:hAnsi="Sylfaen"/>
          <w:i/>
        </w:rPr>
        <w:t>ბავშვთა პოპულაცია</w:t>
      </w:r>
    </w:p>
    <w:p w:rsidR="00C933BB" w:rsidRPr="009E4CF0" w:rsidRDefault="00D12A93" w:rsidP="00B57BD2">
      <w:pPr>
        <w:pStyle w:val="BodyText"/>
        <w:spacing w:before="2"/>
        <w:ind w:left="115"/>
        <w:jc w:val="both"/>
        <w:rPr>
          <w:rFonts w:ascii="Sylfaen" w:hAnsi="Sylfaen"/>
        </w:rPr>
      </w:pPr>
      <w:r w:rsidRPr="009E4CF0">
        <w:rPr>
          <w:rFonts w:ascii="Sylfaen" w:hAnsi="Sylfaen"/>
        </w:rPr>
        <w:t>ბავშვებსა და 18 წლამდე ასაკის მოზარდებში AstraZeneca-ს COVID-19 ვაქცინის უსაფრთხოება და ეფექტურობა ჯერჯერობით დადგენილი არ არის. მონაცემები ხელმისაწვდომი არ არის.</w:t>
      </w:r>
    </w:p>
    <w:p w:rsidR="00C933BB" w:rsidRPr="009E4CF0" w:rsidRDefault="00C933BB" w:rsidP="00B57BD2">
      <w:pPr>
        <w:jc w:val="both"/>
        <w:rPr>
          <w:rFonts w:ascii="Sylfaen" w:hAnsi="Sylfaen"/>
        </w:rPr>
      </w:pPr>
    </w:p>
    <w:p w:rsidR="00C933BB" w:rsidRPr="009E4CF0" w:rsidRDefault="00D12A93" w:rsidP="00B57BD2">
      <w:pPr>
        <w:pStyle w:val="BodyText"/>
        <w:spacing w:before="75"/>
        <w:ind w:left="115"/>
        <w:jc w:val="both"/>
        <w:rPr>
          <w:rFonts w:ascii="Sylfaen" w:hAnsi="Sylfaen"/>
        </w:rPr>
      </w:pPr>
      <w:r w:rsidRPr="009E4CF0">
        <w:rPr>
          <w:rFonts w:ascii="Sylfaen" w:hAnsi="Sylfaen"/>
          <w:u w:val="single"/>
        </w:rPr>
        <w:t>მიღების მეთოდი</w:t>
      </w:r>
    </w:p>
    <w:p w:rsidR="00C933BB" w:rsidRPr="009E4CF0" w:rsidRDefault="00D12A93" w:rsidP="00B57BD2">
      <w:pPr>
        <w:pStyle w:val="BodyText"/>
        <w:spacing w:before="4" w:line="237" w:lineRule="auto"/>
        <w:ind w:left="115" w:right="494"/>
        <w:jc w:val="both"/>
        <w:rPr>
          <w:rFonts w:ascii="Sylfaen" w:hAnsi="Sylfaen"/>
        </w:rPr>
      </w:pPr>
      <w:r w:rsidRPr="009E4CF0">
        <w:rPr>
          <w:rFonts w:ascii="Sylfaen" w:hAnsi="Sylfaen"/>
        </w:rPr>
        <w:t xml:space="preserve">AstraZeneca-ს COVID-19 ვაქცინა განკუთვნილია მხოლოდ კუნთში ინექციისთვის, </w:t>
      </w:r>
      <w:r w:rsidR="00295566">
        <w:rPr>
          <w:rFonts w:ascii="Sylfaen" w:hAnsi="Sylfaen"/>
        </w:rPr>
        <w:t>უპირატესად</w:t>
      </w:r>
      <w:r w:rsidR="00295566" w:rsidRPr="009E4CF0">
        <w:rPr>
          <w:rFonts w:ascii="Sylfaen" w:hAnsi="Sylfaen"/>
        </w:rPr>
        <w:t xml:space="preserve"> </w:t>
      </w:r>
      <w:r w:rsidRPr="009E4CF0">
        <w:rPr>
          <w:rFonts w:ascii="Sylfaen" w:hAnsi="Sylfaen"/>
        </w:rPr>
        <w:t>დელტისებურ კუნთში.</w:t>
      </w:r>
    </w:p>
    <w:p w:rsidR="00C933BB" w:rsidRPr="009E4CF0" w:rsidRDefault="00C933BB" w:rsidP="00B57BD2">
      <w:pPr>
        <w:pStyle w:val="BodyText"/>
        <w:spacing w:before="2"/>
        <w:jc w:val="both"/>
        <w:rPr>
          <w:rFonts w:ascii="Sylfaen" w:hAnsi="Sylfaen"/>
        </w:rPr>
      </w:pPr>
    </w:p>
    <w:p w:rsidR="00C933BB" w:rsidRPr="009E4CF0" w:rsidRDefault="00D12A93" w:rsidP="00B57BD2">
      <w:pPr>
        <w:pStyle w:val="BodyText"/>
        <w:ind w:left="115"/>
        <w:jc w:val="both"/>
        <w:rPr>
          <w:rFonts w:ascii="Sylfaen" w:hAnsi="Sylfaen"/>
        </w:rPr>
      </w:pPr>
      <w:r w:rsidRPr="009E4CF0">
        <w:rPr>
          <w:rFonts w:ascii="Sylfaen" w:hAnsi="Sylfaen"/>
        </w:rPr>
        <w:t>მიღების ინსტრუქცია იხილეთ ნაწილში 6.6.</w:t>
      </w:r>
    </w:p>
    <w:p w:rsidR="00C933BB" w:rsidRPr="009E4CF0" w:rsidRDefault="00C933BB" w:rsidP="00B57BD2">
      <w:pPr>
        <w:pStyle w:val="BodyText"/>
        <w:spacing w:before="3"/>
        <w:jc w:val="both"/>
        <w:rPr>
          <w:rFonts w:ascii="Sylfaen" w:hAnsi="Sylfaen"/>
        </w:rPr>
      </w:pPr>
    </w:p>
    <w:p w:rsidR="00C933BB" w:rsidRPr="009E4CF0" w:rsidRDefault="00D12A93" w:rsidP="00B57BD2">
      <w:pPr>
        <w:pStyle w:val="Heading1"/>
        <w:numPr>
          <w:ilvl w:val="1"/>
          <w:numId w:val="1"/>
        </w:numPr>
        <w:tabs>
          <w:tab w:val="left" w:pos="682"/>
          <w:tab w:val="left" w:pos="683"/>
        </w:tabs>
        <w:ind w:hanging="568"/>
        <w:jc w:val="both"/>
        <w:rPr>
          <w:rFonts w:ascii="Sylfaen" w:hAnsi="Sylfaen"/>
        </w:rPr>
      </w:pPr>
      <w:r w:rsidRPr="009E4CF0">
        <w:rPr>
          <w:rFonts w:ascii="Sylfaen" w:hAnsi="Sylfaen"/>
        </w:rPr>
        <w:t>უკუჩვენებები</w:t>
      </w:r>
    </w:p>
    <w:p w:rsidR="00C933BB" w:rsidRPr="009E4CF0" w:rsidRDefault="00C933BB" w:rsidP="00B57BD2">
      <w:pPr>
        <w:pStyle w:val="BodyText"/>
        <w:spacing w:before="9"/>
        <w:jc w:val="both"/>
        <w:rPr>
          <w:rFonts w:ascii="Sylfaen" w:hAnsi="Sylfaen"/>
          <w:b/>
          <w:sz w:val="21"/>
        </w:rPr>
      </w:pPr>
    </w:p>
    <w:p w:rsidR="00C933BB" w:rsidRPr="009E4CF0" w:rsidRDefault="00D12A93" w:rsidP="00B57BD2">
      <w:pPr>
        <w:pStyle w:val="BodyText"/>
        <w:ind w:left="115"/>
        <w:jc w:val="both"/>
        <w:rPr>
          <w:rFonts w:ascii="Sylfaen" w:hAnsi="Sylfaen"/>
        </w:rPr>
      </w:pPr>
      <w:r w:rsidRPr="009E4CF0">
        <w:rPr>
          <w:rFonts w:ascii="Sylfaen" w:hAnsi="Sylfaen"/>
        </w:rPr>
        <w:t>მაღალი მგრძნობელობა აქტიური ნივთიერების ან 6.1. ნაწილში მითითებული სხვა რომელიმე კომპონენტის მიმართ.</w:t>
      </w:r>
    </w:p>
    <w:p w:rsidR="00C933BB" w:rsidRPr="009E4CF0" w:rsidRDefault="00C933BB" w:rsidP="00B57BD2">
      <w:pPr>
        <w:pStyle w:val="BodyText"/>
        <w:spacing w:before="3"/>
        <w:jc w:val="both"/>
        <w:rPr>
          <w:rFonts w:ascii="Sylfaen" w:hAnsi="Sylfaen"/>
        </w:rPr>
      </w:pPr>
    </w:p>
    <w:p w:rsidR="00C933BB" w:rsidRPr="009E4CF0" w:rsidRDefault="00D12A93" w:rsidP="00B57BD2">
      <w:pPr>
        <w:pStyle w:val="Heading1"/>
        <w:numPr>
          <w:ilvl w:val="1"/>
          <w:numId w:val="1"/>
        </w:numPr>
        <w:tabs>
          <w:tab w:val="left" w:pos="682"/>
          <w:tab w:val="left" w:pos="683"/>
        </w:tabs>
        <w:ind w:hanging="568"/>
        <w:jc w:val="both"/>
        <w:rPr>
          <w:rFonts w:ascii="Sylfaen" w:hAnsi="Sylfaen"/>
        </w:rPr>
      </w:pPr>
      <w:r w:rsidRPr="009E4CF0">
        <w:rPr>
          <w:rFonts w:ascii="Sylfaen" w:hAnsi="Sylfaen"/>
        </w:rPr>
        <w:t>განსაკუთრებული გაფრთხილება და სიფრთხილის ზომები გამოყენებისას</w:t>
      </w:r>
    </w:p>
    <w:p w:rsidR="00C933BB" w:rsidRPr="009E4CF0" w:rsidRDefault="00C933BB" w:rsidP="00B57BD2">
      <w:pPr>
        <w:pStyle w:val="BodyText"/>
        <w:spacing w:before="5"/>
        <w:jc w:val="both"/>
        <w:rPr>
          <w:rFonts w:ascii="Sylfaen" w:hAnsi="Sylfaen"/>
          <w:b/>
          <w:sz w:val="21"/>
        </w:rPr>
      </w:pPr>
    </w:p>
    <w:p w:rsidR="00C933BB" w:rsidRPr="009E4CF0" w:rsidRDefault="00A01E91" w:rsidP="00B57BD2">
      <w:pPr>
        <w:pStyle w:val="BodyText"/>
        <w:ind w:left="115"/>
        <w:jc w:val="both"/>
        <w:rPr>
          <w:rFonts w:ascii="Sylfaen" w:hAnsi="Sylfaen"/>
        </w:rPr>
      </w:pPr>
      <w:r>
        <w:rPr>
          <w:rFonts w:ascii="Sylfaen" w:hAnsi="Sylfaen"/>
          <w:u w:val="single"/>
        </w:rPr>
        <w:t>თვალყურის დევნება</w:t>
      </w:r>
    </w:p>
    <w:p w:rsidR="00C933BB" w:rsidRPr="009E4CF0" w:rsidRDefault="00D12A93" w:rsidP="00B57BD2">
      <w:pPr>
        <w:pStyle w:val="BodyText"/>
        <w:spacing w:before="1"/>
        <w:ind w:left="115" w:right="316"/>
        <w:jc w:val="both"/>
        <w:rPr>
          <w:rFonts w:ascii="Sylfaen" w:hAnsi="Sylfaen"/>
        </w:rPr>
      </w:pPr>
      <w:r w:rsidRPr="009E4CF0">
        <w:rPr>
          <w:rFonts w:ascii="Sylfaen" w:hAnsi="Sylfaen"/>
        </w:rPr>
        <w:t xml:space="preserve">ბიოლოგიური სამკურნალო საშუალებების </w:t>
      </w:r>
      <w:r w:rsidR="00A01E91">
        <w:rPr>
          <w:rFonts w:ascii="Sylfaen" w:hAnsi="Sylfaen"/>
        </w:rPr>
        <w:t>თვალყურის დევნების</w:t>
      </w:r>
      <w:r w:rsidR="00A01E91" w:rsidRPr="009E4CF0">
        <w:rPr>
          <w:rFonts w:ascii="Sylfaen" w:hAnsi="Sylfaen"/>
        </w:rPr>
        <w:t xml:space="preserve"> </w:t>
      </w:r>
      <w:r w:rsidRPr="009E4CF0">
        <w:rPr>
          <w:rFonts w:ascii="Sylfaen" w:hAnsi="Sylfaen"/>
        </w:rPr>
        <w:t>გაუმჯობესების მიზნით, გამოყენებული პროდუქტის სახელი და პარტიის ნომერი მკაფიოდ უნდა დაფიქსირდეს.</w:t>
      </w:r>
    </w:p>
    <w:p w:rsidR="00C933BB" w:rsidRPr="009E4CF0" w:rsidRDefault="00C933BB" w:rsidP="00B57BD2">
      <w:pPr>
        <w:pStyle w:val="BodyText"/>
        <w:jc w:val="both"/>
        <w:rPr>
          <w:rFonts w:ascii="Sylfaen" w:hAnsi="Sylfaen"/>
        </w:rPr>
      </w:pPr>
    </w:p>
    <w:p w:rsidR="00C933BB" w:rsidRPr="009E4CF0" w:rsidRDefault="00D12A93" w:rsidP="00B57BD2">
      <w:pPr>
        <w:pStyle w:val="BodyText"/>
        <w:ind w:left="115"/>
        <w:jc w:val="both"/>
        <w:rPr>
          <w:rFonts w:ascii="Sylfaen" w:hAnsi="Sylfaen"/>
        </w:rPr>
      </w:pPr>
      <w:r w:rsidRPr="009E4CF0">
        <w:rPr>
          <w:rFonts w:ascii="Sylfaen" w:hAnsi="Sylfaen"/>
          <w:u w:val="single"/>
        </w:rPr>
        <w:t>მაღალი მგრძნობელობა</w:t>
      </w:r>
    </w:p>
    <w:p w:rsidR="00C933BB" w:rsidRPr="009E4CF0" w:rsidRDefault="00D12A93" w:rsidP="00B57BD2">
      <w:pPr>
        <w:pStyle w:val="BodyText"/>
        <w:spacing w:before="1"/>
        <w:ind w:left="115" w:right="145"/>
        <w:jc w:val="both"/>
        <w:rPr>
          <w:rFonts w:ascii="Sylfaen" w:hAnsi="Sylfaen"/>
        </w:rPr>
      </w:pPr>
      <w:r w:rsidRPr="009E4CF0">
        <w:rPr>
          <w:rFonts w:ascii="Sylfaen" w:hAnsi="Sylfaen"/>
        </w:rPr>
        <w:t>ისევე, როგორც ნებისმიერი საინექციო ვაქცინის შემთხვევაში, ვაქცინის შეყვანის შემდგომ ანაფილაქსიის გამოვლე</w:t>
      </w:r>
      <w:r w:rsidR="00A01E91">
        <w:rPr>
          <w:rFonts w:ascii="Sylfaen" w:hAnsi="Sylfaen"/>
        </w:rPr>
        <w:t>ნ</w:t>
      </w:r>
      <w:r w:rsidRPr="009E4CF0">
        <w:rPr>
          <w:rFonts w:ascii="Sylfaen" w:hAnsi="Sylfaen"/>
        </w:rPr>
        <w:t>ის შემთხვევაში ყოველთვის უნდა არსებობდეს სათანადო მკურნალობისა და დაკვირვების უწყვეტი ხელმისაწვდომობა. ვაქცინაციის შემდგომ რეკომენდებულია, სულ მცირე, 15-წუთიანი დაკვირვება. იმ პაციენტებისთვის, რომლებსაც პირველი ვაქცინაციის დროს ანაფილაქსია განუვითარდათ, მეორე დოზის მიცემა რეკომენდებული არ არის.</w:t>
      </w:r>
    </w:p>
    <w:p w:rsidR="00C933BB" w:rsidRPr="009E4CF0" w:rsidRDefault="00C933BB" w:rsidP="00B57BD2">
      <w:pPr>
        <w:pStyle w:val="BodyText"/>
        <w:spacing w:before="11"/>
        <w:jc w:val="both"/>
        <w:rPr>
          <w:rFonts w:ascii="Sylfaen" w:hAnsi="Sylfaen"/>
          <w:sz w:val="21"/>
        </w:rPr>
      </w:pPr>
    </w:p>
    <w:p w:rsidR="00C933BB" w:rsidRPr="009E4CF0" w:rsidRDefault="00D12A93" w:rsidP="00B57BD2">
      <w:pPr>
        <w:pStyle w:val="BodyText"/>
        <w:ind w:left="115"/>
        <w:jc w:val="both"/>
        <w:rPr>
          <w:rFonts w:ascii="Sylfaen" w:hAnsi="Sylfaen"/>
        </w:rPr>
      </w:pPr>
      <w:r w:rsidRPr="009E4CF0">
        <w:rPr>
          <w:rFonts w:ascii="Sylfaen" w:hAnsi="Sylfaen"/>
          <w:u w:val="single"/>
        </w:rPr>
        <w:t>თანმხლები დაავადება</w:t>
      </w:r>
    </w:p>
    <w:p w:rsidR="00C933BB" w:rsidRPr="009E4CF0" w:rsidRDefault="00D12A93" w:rsidP="00B57BD2">
      <w:pPr>
        <w:pStyle w:val="BodyText"/>
        <w:spacing w:before="1"/>
        <w:ind w:left="115" w:right="237"/>
        <w:jc w:val="both"/>
        <w:rPr>
          <w:rFonts w:ascii="Sylfaen" w:hAnsi="Sylfaen"/>
        </w:rPr>
      </w:pPr>
      <w:r w:rsidRPr="009E4CF0">
        <w:rPr>
          <w:rFonts w:ascii="Sylfaen" w:hAnsi="Sylfaen"/>
        </w:rPr>
        <w:t>ისევე, როგორც სხვა ვაქცინების შემთხვევაში, AstraZeneca-ს COVID-19 ვაქცინის გამოყენება უნდა გადაიდოს იმ პაციენტებთან, რომლებსაც ცხელების რთული ფორმა აღენიშნებათ. თუმცა, მსუბუქი ინფექციების არსებობის შემთხვევაში, როგორიცაა გაციება ან/და ცხელება იოლი ფორმით, ვაქცინაციის გადადება რეკომენდებული არ არის.</w:t>
      </w:r>
    </w:p>
    <w:p w:rsidR="00C933BB" w:rsidRPr="009E4CF0" w:rsidRDefault="00C933BB" w:rsidP="00B57BD2">
      <w:pPr>
        <w:pStyle w:val="BodyText"/>
        <w:spacing w:before="1"/>
        <w:jc w:val="both"/>
        <w:rPr>
          <w:rFonts w:ascii="Sylfaen" w:hAnsi="Sylfaen"/>
        </w:rPr>
      </w:pPr>
    </w:p>
    <w:p w:rsidR="00C933BB" w:rsidRPr="009E4CF0" w:rsidRDefault="00D12A93" w:rsidP="00B57BD2">
      <w:pPr>
        <w:pStyle w:val="BodyText"/>
        <w:spacing w:line="251" w:lineRule="exact"/>
        <w:ind w:left="115"/>
        <w:jc w:val="both"/>
        <w:rPr>
          <w:rFonts w:ascii="Sylfaen" w:hAnsi="Sylfaen"/>
        </w:rPr>
      </w:pPr>
      <w:r w:rsidRPr="009E4CF0">
        <w:rPr>
          <w:rFonts w:ascii="Sylfaen" w:hAnsi="Sylfaen"/>
          <w:u w:val="single"/>
        </w:rPr>
        <w:t>თრომბოციტოპენია და კოაგულაციის დარღვევები</w:t>
      </w:r>
    </w:p>
    <w:p w:rsidR="00C933BB" w:rsidRPr="009E4CF0" w:rsidRDefault="00D12A93" w:rsidP="00B57BD2">
      <w:pPr>
        <w:pStyle w:val="BodyText"/>
        <w:ind w:left="115" w:right="109"/>
        <w:jc w:val="both"/>
        <w:rPr>
          <w:rFonts w:ascii="Sylfaen" w:hAnsi="Sylfaen"/>
        </w:rPr>
      </w:pPr>
      <w:r w:rsidRPr="009E4CF0">
        <w:rPr>
          <w:rFonts w:ascii="Sylfaen" w:hAnsi="Sylfaen"/>
        </w:rPr>
        <w:t xml:space="preserve">ისევე, როგორც სხვა კუნთშიდა ინექციების შემთხვევაში, AstraZeneca-ს COVID-19 ვაქცინა სიფრთხლით უნდა დაინიშნოს იმ პაციენტებში, რომლებსაც თრომბოციტოპენია ან </w:t>
      </w:r>
      <w:r w:rsidRPr="009E4CF0">
        <w:rPr>
          <w:rFonts w:ascii="Sylfaen" w:hAnsi="Sylfaen"/>
        </w:rPr>
        <w:lastRenderedPageBreak/>
        <w:t>ნებისმიერი სახის კოაგულაციის დარღვევა აქვთ ან ისეთ პაციენტებში, რომლებიც ანტიკოაგულაციურ მკურნალობას გადიან, რადგან ასეთ პაციენტებს კუნთშიდა ინექციის დროს შეიძლება სისხლდენა ან სისხლჩაქცევები განუვითარდეთ.</w:t>
      </w:r>
    </w:p>
    <w:p w:rsidR="00C933BB" w:rsidRPr="009E4CF0" w:rsidRDefault="00C933BB" w:rsidP="00B57BD2">
      <w:pPr>
        <w:pStyle w:val="BodyText"/>
        <w:jc w:val="both"/>
        <w:rPr>
          <w:rFonts w:ascii="Sylfaen" w:hAnsi="Sylfaen"/>
        </w:rPr>
      </w:pPr>
    </w:p>
    <w:p w:rsidR="00C933BB" w:rsidRPr="009E4CF0" w:rsidRDefault="00D12A93" w:rsidP="00B57BD2">
      <w:pPr>
        <w:pStyle w:val="BodyText"/>
        <w:spacing w:before="1"/>
        <w:ind w:left="115"/>
        <w:jc w:val="both"/>
        <w:rPr>
          <w:rFonts w:ascii="Sylfaen" w:hAnsi="Sylfaen"/>
        </w:rPr>
      </w:pPr>
      <w:r w:rsidRPr="009E4CF0">
        <w:rPr>
          <w:rFonts w:ascii="Sylfaen" w:hAnsi="Sylfaen"/>
          <w:u w:val="single"/>
        </w:rPr>
        <w:t>ნევროლოგიური გამოვლინებები</w:t>
      </w:r>
    </w:p>
    <w:p w:rsidR="00C933BB" w:rsidRPr="009E4CF0" w:rsidRDefault="00D12A93" w:rsidP="00B57BD2">
      <w:pPr>
        <w:pStyle w:val="BodyText"/>
        <w:spacing w:before="3" w:line="237" w:lineRule="auto"/>
        <w:ind w:left="115" w:right="109"/>
        <w:jc w:val="both"/>
        <w:rPr>
          <w:rFonts w:ascii="Sylfaen" w:hAnsi="Sylfaen"/>
        </w:rPr>
      </w:pPr>
      <w:r w:rsidRPr="009E4CF0">
        <w:rPr>
          <w:rFonts w:ascii="Sylfaen" w:hAnsi="Sylfaen"/>
        </w:rPr>
        <w:t>AstraZeneca-ს COVID-19 ვაქცინით ვაქცინაციისას დაფიქსირებულია დემიელინიზირებადი დაავადებების ძალიან იშვიათი შემთხვევები. მიზეზ-შედეგობრივი კავშირი დადგენილი არ არის.</w:t>
      </w:r>
    </w:p>
    <w:p w:rsidR="00C933BB" w:rsidRPr="009E4CF0" w:rsidRDefault="00D12A93" w:rsidP="00B57BD2">
      <w:pPr>
        <w:pStyle w:val="BodyText"/>
        <w:tabs>
          <w:tab w:val="left" w:pos="8647"/>
        </w:tabs>
        <w:spacing w:before="1"/>
        <w:ind w:left="98" w:right="117" w:firstLine="17"/>
        <w:jc w:val="both"/>
        <w:rPr>
          <w:rFonts w:ascii="Sylfaen" w:hAnsi="Sylfaen"/>
        </w:rPr>
      </w:pPr>
      <w:r w:rsidRPr="009E4CF0">
        <w:rPr>
          <w:rFonts w:ascii="Sylfaen" w:hAnsi="Sylfaen"/>
        </w:rPr>
        <w:t xml:space="preserve">ისევე როგორც სხვა ვაქცინების შემთხვევაში, გასათვალისწინებელია AstraZeneca-ს COVID-19 ვაქცინით პაციენტების ვაქცინაციის </w:t>
      </w:r>
      <w:r w:rsidR="00A01E91">
        <w:rPr>
          <w:rFonts w:ascii="Sylfaen" w:hAnsi="Sylfaen"/>
        </w:rPr>
        <w:t>სარგებელი</w:t>
      </w:r>
      <w:r w:rsidR="00A01E91" w:rsidRPr="009E4CF0">
        <w:rPr>
          <w:rFonts w:ascii="Sylfaen" w:hAnsi="Sylfaen"/>
        </w:rPr>
        <w:t xml:space="preserve"> </w:t>
      </w:r>
      <w:r w:rsidRPr="009E4CF0">
        <w:rPr>
          <w:rFonts w:ascii="Sylfaen" w:hAnsi="Sylfaen"/>
        </w:rPr>
        <w:t>და პოტენციური რისკები.</w:t>
      </w:r>
    </w:p>
    <w:p w:rsidR="00C933BB" w:rsidRPr="009E4CF0" w:rsidRDefault="00C933BB" w:rsidP="00B57BD2">
      <w:pPr>
        <w:pStyle w:val="BodyText"/>
        <w:spacing w:before="11"/>
        <w:jc w:val="both"/>
        <w:rPr>
          <w:rFonts w:ascii="Sylfaen" w:hAnsi="Sylfaen"/>
          <w:sz w:val="21"/>
        </w:rPr>
      </w:pPr>
    </w:p>
    <w:p w:rsidR="00C933BB" w:rsidRPr="009E4CF0" w:rsidRDefault="00D12A93" w:rsidP="00B57BD2">
      <w:pPr>
        <w:pStyle w:val="BodyText"/>
        <w:ind w:left="115"/>
        <w:jc w:val="both"/>
        <w:rPr>
          <w:rFonts w:ascii="Sylfaen" w:hAnsi="Sylfaen"/>
        </w:rPr>
      </w:pPr>
      <w:r w:rsidRPr="009E4CF0">
        <w:rPr>
          <w:rFonts w:ascii="Sylfaen" w:hAnsi="Sylfaen"/>
          <w:u w:val="single"/>
        </w:rPr>
        <w:t>დაქვეითებული იმუნიტეტის მქონე პირები</w:t>
      </w:r>
    </w:p>
    <w:p w:rsidR="00C933BB" w:rsidRPr="009E4CF0" w:rsidRDefault="00D12A93" w:rsidP="00B57BD2">
      <w:pPr>
        <w:pStyle w:val="BodyText"/>
        <w:spacing w:before="2"/>
        <w:ind w:left="115" w:right="248"/>
        <w:jc w:val="both"/>
        <w:rPr>
          <w:rFonts w:ascii="Sylfaen" w:hAnsi="Sylfaen"/>
        </w:rPr>
      </w:pPr>
      <w:r w:rsidRPr="009E4CF0">
        <w:rPr>
          <w:rFonts w:ascii="Sylfaen" w:hAnsi="Sylfaen"/>
        </w:rPr>
        <w:t>ცნობილი არ არის, ვაქცინაციის სქემაზე ისეთივე რეაქცია ექნებათ თუ არა დარღვეული იმუნური რეაქციის უნარის მქონე პირებს, მათ შორის, პაციენტებს, რომლებიც მკურნალობას გადიან იმუნოდეპრესანტებით, როგორიც იმუნოკომპეტენტურ პირებს.</w:t>
      </w:r>
    </w:p>
    <w:p w:rsidR="00C933BB" w:rsidRPr="009E4CF0" w:rsidRDefault="00C933BB" w:rsidP="00B57BD2">
      <w:pPr>
        <w:pStyle w:val="BodyText"/>
        <w:jc w:val="both"/>
        <w:rPr>
          <w:rFonts w:ascii="Sylfaen" w:hAnsi="Sylfaen"/>
        </w:rPr>
      </w:pPr>
    </w:p>
    <w:p w:rsidR="00C933BB" w:rsidRPr="009E4CF0" w:rsidRDefault="00A01E91" w:rsidP="00B57BD2">
      <w:pPr>
        <w:pStyle w:val="BodyText"/>
        <w:spacing w:line="251" w:lineRule="exact"/>
        <w:ind w:left="115"/>
        <w:jc w:val="both"/>
        <w:rPr>
          <w:rFonts w:ascii="Sylfaen" w:hAnsi="Sylfaen"/>
        </w:rPr>
      </w:pPr>
      <w:r>
        <w:rPr>
          <w:rFonts w:ascii="Sylfaen" w:hAnsi="Sylfaen"/>
          <w:u w:val="single"/>
        </w:rPr>
        <w:t>დამცველობის</w:t>
      </w:r>
      <w:r w:rsidRPr="009E4CF0">
        <w:rPr>
          <w:rFonts w:ascii="Sylfaen" w:hAnsi="Sylfaen"/>
          <w:u w:val="single"/>
        </w:rPr>
        <w:t xml:space="preserve"> </w:t>
      </w:r>
      <w:r w:rsidR="00D12A93" w:rsidRPr="009E4CF0">
        <w:rPr>
          <w:rFonts w:ascii="Sylfaen" w:hAnsi="Sylfaen"/>
          <w:u w:val="single"/>
        </w:rPr>
        <w:t>დონე და ხანგრძლივობა</w:t>
      </w:r>
    </w:p>
    <w:p w:rsidR="00C933BB" w:rsidRPr="009E4CF0" w:rsidRDefault="00A01E91" w:rsidP="00B57BD2">
      <w:pPr>
        <w:pStyle w:val="BodyText"/>
        <w:spacing w:line="251" w:lineRule="exact"/>
        <w:ind w:left="115"/>
        <w:jc w:val="both"/>
        <w:rPr>
          <w:rFonts w:ascii="Sylfaen" w:hAnsi="Sylfaen"/>
        </w:rPr>
      </w:pPr>
      <w:r>
        <w:rPr>
          <w:rFonts w:ascii="Sylfaen" w:hAnsi="Sylfaen"/>
        </w:rPr>
        <w:t>დამცველობის</w:t>
      </w:r>
      <w:r w:rsidRPr="009E4CF0">
        <w:rPr>
          <w:rFonts w:ascii="Sylfaen" w:hAnsi="Sylfaen"/>
        </w:rPr>
        <w:t xml:space="preserve"> </w:t>
      </w:r>
      <w:r w:rsidR="00D12A93" w:rsidRPr="009E4CF0">
        <w:rPr>
          <w:rFonts w:ascii="Sylfaen" w:hAnsi="Sylfaen"/>
        </w:rPr>
        <w:t>ხანგრძლივობა ჯერჯერობით დადგენილი არ არის.</w:t>
      </w:r>
    </w:p>
    <w:p w:rsidR="00C933BB" w:rsidRPr="009E4CF0" w:rsidRDefault="00D12A93" w:rsidP="00B57BD2">
      <w:pPr>
        <w:pStyle w:val="BodyText"/>
        <w:spacing w:before="2"/>
        <w:ind w:left="115"/>
        <w:jc w:val="both"/>
        <w:rPr>
          <w:rFonts w:ascii="Sylfaen" w:hAnsi="Sylfaen"/>
        </w:rPr>
      </w:pPr>
      <w:r w:rsidRPr="009E4CF0">
        <w:rPr>
          <w:rFonts w:ascii="Sylfaen" w:hAnsi="Sylfaen"/>
        </w:rPr>
        <w:t>ისევე, როგორც ნებისმიერი ვაქცინის შემთხვევაში, შეიძლება AstraZeneca-ს COVID-19 ვაქცინით ვაქცინაციამ ვაქცინის ყველა მიმღები ვერ დაიცვას.</w:t>
      </w:r>
    </w:p>
    <w:p w:rsidR="00C933BB" w:rsidRPr="009E4CF0" w:rsidRDefault="00C933BB" w:rsidP="00B57BD2">
      <w:pPr>
        <w:pStyle w:val="BodyText"/>
        <w:spacing w:before="11"/>
        <w:jc w:val="both"/>
        <w:rPr>
          <w:rFonts w:ascii="Sylfaen" w:hAnsi="Sylfaen"/>
          <w:sz w:val="21"/>
        </w:rPr>
      </w:pPr>
    </w:p>
    <w:p w:rsidR="00C933BB" w:rsidRPr="009E4CF0" w:rsidRDefault="00D12A93" w:rsidP="00B57BD2">
      <w:pPr>
        <w:pStyle w:val="BodyText"/>
        <w:ind w:left="115"/>
        <w:jc w:val="both"/>
        <w:rPr>
          <w:rFonts w:ascii="Sylfaen" w:hAnsi="Sylfaen"/>
        </w:rPr>
      </w:pPr>
      <w:r w:rsidRPr="009E4CF0">
        <w:rPr>
          <w:rFonts w:ascii="Sylfaen" w:hAnsi="Sylfaen"/>
          <w:u w:val="single"/>
        </w:rPr>
        <w:t>ურთიერთჩანაცვლება</w:t>
      </w:r>
    </w:p>
    <w:p w:rsidR="00C933BB" w:rsidRPr="009E4CF0" w:rsidRDefault="00D12A93" w:rsidP="00B57BD2">
      <w:pPr>
        <w:pStyle w:val="BodyText"/>
        <w:spacing w:before="1"/>
        <w:ind w:left="115" w:right="-25"/>
        <w:jc w:val="both"/>
        <w:rPr>
          <w:rFonts w:ascii="Sylfaen" w:hAnsi="Sylfaen"/>
        </w:rPr>
      </w:pPr>
      <w:r w:rsidRPr="009E4CF0">
        <w:rPr>
          <w:rFonts w:ascii="Sylfaen" w:hAnsi="Sylfaen"/>
        </w:rPr>
        <w:t>არ არსებობს უსაფრთხოების, იმუნოგენურობის ან ეფექტურობის მონაცემები, რომლებიც ადასტურებს, რომ შესაძლებელია AstraZeneca-ს COVID-19 ვაქცინის სხვა COVID-19 ვაქცინებით ჩანაცვლება.</w:t>
      </w:r>
    </w:p>
    <w:p w:rsidR="00C933BB" w:rsidRPr="009E4CF0" w:rsidRDefault="00C933BB" w:rsidP="00B57BD2">
      <w:pPr>
        <w:pStyle w:val="BodyText"/>
        <w:jc w:val="both"/>
        <w:rPr>
          <w:rFonts w:ascii="Sylfaen" w:hAnsi="Sylfaen"/>
        </w:rPr>
      </w:pPr>
    </w:p>
    <w:p w:rsidR="00C933BB" w:rsidRPr="009E4CF0" w:rsidRDefault="00D12A93" w:rsidP="00B57BD2">
      <w:pPr>
        <w:pStyle w:val="BodyText"/>
        <w:ind w:left="115"/>
        <w:jc w:val="both"/>
        <w:rPr>
          <w:rFonts w:ascii="Sylfaen" w:hAnsi="Sylfaen"/>
        </w:rPr>
      </w:pPr>
      <w:r w:rsidRPr="009E4CF0">
        <w:rPr>
          <w:rFonts w:ascii="Sylfaen" w:hAnsi="Sylfaen"/>
          <w:u w:val="single"/>
        </w:rPr>
        <w:t>ნატრიუმი</w:t>
      </w:r>
    </w:p>
    <w:p w:rsidR="00C933BB" w:rsidRPr="009E4CF0" w:rsidRDefault="00D12A93" w:rsidP="00B57BD2">
      <w:pPr>
        <w:pStyle w:val="BodyText"/>
        <w:spacing w:before="3" w:line="237" w:lineRule="auto"/>
        <w:ind w:left="115" w:right="10"/>
        <w:jc w:val="both"/>
        <w:rPr>
          <w:rFonts w:ascii="Sylfaen" w:hAnsi="Sylfaen"/>
        </w:rPr>
      </w:pPr>
      <w:r w:rsidRPr="009E4CF0">
        <w:rPr>
          <w:rFonts w:ascii="Sylfaen" w:hAnsi="Sylfaen"/>
        </w:rPr>
        <w:t xml:space="preserve">ამ სამკურნალო პრეპარატის თითო დოზა შეიცავს 1 მმოლ (23 მგ) ნატრიუმს და </w:t>
      </w:r>
      <w:r w:rsidR="00383D6F">
        <w:rPr>
          <w:rFonts w:ascii="Sylfaen" w:hAnsi="Sylfaen"/>
        </w:rPr>
        <w:t>მიჩნეულია</w:t>
      </w:r>
      <w:r w:rsidR="00383D6F" w:rsidRPr="009E4CF0">
        <w:rPr>
          <w:rFonts w:ascii="Sylfaen" w:hAnsi="Sylfaen"/>
        </w:rPr>
        <w:t xml:space="preserve">, </w:t>
      </w:r>
      <w:r w:rsidRPr="009E4CF0">
        <w:rPr>
          <w:rFonts w:ascii="Sylfaen" w:hAnsi="Sylfaen"/>
        </w:rPr>
        <w:t>რომ იგი ნატრიუმს პრაქტიკულად არ შეიცავს.</w:t>
      </w:r>
    </w:p>
    <w:p w:rsidR="00C933BB" w:rsidRPr="009E4CF0" w:rsidRDefault="00C933BB" w:rsidP="00B57BD2">
      <w:pPr>
        <w:spacing w:line="237" w:lineRule="auto"/>
        <w:jc w:val="both"/>
        <w:rPr>
          <w:rFonts w:ascii="Sylfaen" w:hAnsi="Sylfaen"/>
        </w:rPr>
      </w:pPr>
    </w:p>
    <w:p w:rsidR="00C933BB" w:rsidRPr="009E4CF0" w:rsidRDefault="00D12A93" w:rsidP="00B57BD2">
      <w:pPr>
        <w:pStyle w:val="Heading1"/>
        <w:numPr>
          <w:ilvl w:val="1"/>
          <w:numId w:val="1"/>
        </w:numPr>
        <w:tabs>
          <w:tab w:val="left" w:pos="682"/>
          <w:tab w:val="left" w:pos="683"/>
        </w:tabs>
        <w:spacing w:before="74"/>
        <w:ind w:hanging="568"/>
        <w:jc w:val="both"/>
        <w:rPr>
          <w:rFonts w:ascii="Sylfaen" w:hAnsi="Sylfaen"/>
        </w:rPr>
      </w:pPr>
      <w:r w:rsidRPr="009E4CF0">
        <w:rPr>
          <w:rFonts w:ascii="Sylfaen" w:hAnsi="Sylfaen"/>
        </w:rPr>
        <w:t>სხვა სამკურნალო პრეპარატებთან ურთიერთქმედება და ურთიერთქმედების სხვა ფორმები</w:t>
      </w:r>
    </w:p>
    <w:p w:rsidR="00C933BB" w:rsidRPr="009E4CF0" w:rsidRDefault="00C933BB" w:rsidP="00B57BD2">
      <w:pPr>
        <w:pStyle w:val="BodyText"/>
        <w:spacing w:before="5"/>
        <w:jc w:val="both"/>
        <w:rPr>
          <w:rFonts w:ascii="Sylfaen" w:hAnsi="Sylfaen"/>
          <w:b/>
          <w:sz w:val="21"/>
        </w:rPr>
      </w:pPr>
    </w:p>
    <w:p w:rsidR="00C933BB" w:rsidRPr="009E4CF0" w:rsidRDefault="00D12A93" w:rsidP="00B57BD2">
      <w:pPr>
        <w:pStyle w:val="BodyText"/>
        <w:ind w:left="115" w:right="10"/>
        <w:jc w:val="both"/>
        <w:rPr>
          <w:rFonts w:ascii="Sylfaen" w:hAnsi="Sylfaen"/>
        </w:rPr>
      </w:pPr>
      <w:r w:rsidRPr="009E4CF0">
        <w:rPr>
          <w:rFonts w:ascii="Sylfaen" w:hAnsi="Sylfaen"/>
        </w:rPr>
        <w:t>AstraZeneca-ს COVID-19 ვაქცინის სხვა ვაქცინებთან ერთად გამოყენების უსაფრთხოება, იმუნოგენურობა და ეფექტურობა შეფასებული არ არის.</w:t>
      </w:r>
    </w:p>
    <w:p w:rsidR="00C933BB" w:rsidRPr="009E4CF0" w:rsidRDefault="00C933BB" w:rsidP="00B57BD2">
      <w:pPr>
        <w:pStyle w:val="BodyText"/>
        <w:spacing w:before="4"/>
        <w:jc w:val="both"/>
        <w:rPr>
          <w:rFonts w:ascii="Sylfaen" w:hAnsi="Sylfaen"/>
        </w:rPr>
      </w:pPr>
    </w:p>
    <w:p w:rsidR="00C933BB" w:rsidRPr="009E4CF0" w:rsidRDefault="00D12A93" w:rsidP="00B57BD2">
      <w:pPr>
        <w:pStyle w:val="Heading1"/>
        <w:numPr>
          <w:ilvl w:val="1"/>
          <w:numId w:val="1"/>
        </w:numPr>
        <w:tabs>
          <w:tab w:val="left" w:pos="682"/>
          <w:tab w:val="left" w:pos="683"/>
        </w:tabs>
        <w:ind w:hanging="568"/>
        <w:jc w:val="both"/>
        <w:rPr>
          <w:rFonts w:ascii="Sylfaen" w:hAnsi="Sylfaen"/>
        </w:rPr>
      </w:pPr>
      <w:r w:rsidRPr="009E4CF0">
        <w:rPr>
          <w:rFonts w:ascii="Sylfaen" w:hAnsi="Sylfaen"/>
        </w:rPr>
        <w:t>ფერტილობა, ორსულობა და ლაქტაცია</w:t>
      </w:r>
    </w:p>
    <w:p w:rsidR="00C933BB" w:rsidRPr="009E4CF0" w:rsidRDefault="00C933BB" w:rsidP="00B57BD2">
      <w:pPr>
        <w:pStyle w:val="BodyText"/>
        <w:spacing w:before="10"/>
        <w:jc w:val="both"/>
        <w:rPr>
          <w:rFonts w:ascii="Sylfaen" w:hAnsi="Sylfaen"/>
          <w:b/>
          <w:sz w:val="21"/>
        </w:rPr>
      </w:pPr>
    </w:p>
    <w:p w:rsidR="00C933BB" w:rsidRPr="009E4CF0" w:rsidRDefault="00D12A93" w:rsidP="00B57BD2">
      <w:pPr>
        <w:pStyle w:val="BodyText"/>
        <w:spacing w:line="251" w:lineRule="exact"/>
        <w:ind w:left="115"/>
        <w:jc w:val="both"/>
        <w:rPr>
          <w:rFonts w:ascii="Sylfaen" w:hAnsi="Sylfaen"/>
        </w:rPr>
      </w:pPr>
      <w:r w:rsidRPr="009E4CF0">
        <w:rPr>
          <w:rFonts w:ascii="Sylfaen" w:hAnsi="Sylfaen"/>
          <w:u w:val="single"/>
        </w:rPr>
        <w:t>ორსულობა</w:t>
      </w:r>
    </w:p>
    <w:p w:rsidR="00C933BB" w:rsidRPr="009E4CF0" w:rsidRDefault="00D12A93" w:rsidP="00B57BD2">
      <w:pPr>
        <w:pStyle w:val="BodyText"/>
        <w:ind w:left="115" w:right="-18"/>
        <w:jc w:val="both"/>
        <w:rPr>
          <w:rFonts w:ascii="Sylfaen" w:hAnsi="Sylfaen"/>
        </w:rPr>
      </w:pPr>
      <w:r w:rsidRPr="009E4CF0">
        <w:rPr>
          <w:rFonts w:ascii="Sylfaen" w:hAnsi="Sylfaen"/>
        </w:rPr>
        <w:t>ორსულ ქალებში AstraZeneca-ს COVID-19 ვაქცინის გამოყენების შემთხვევების ან ვაქცინის მიღების შემდეგ დაორსულებული ქალების შესახებ მხოლოდ შეზღუდული რაოდენობის მონაცემები არსებობს. მონაცემები არასაკმარისია ვაქცინებთან დაკავშირებული რისკების შესახებ ინფორმაციის მისაღებად.</w:t>
      </w:r>
    </w:p>
    <w:p w:rsidR="00C933BB" w:rsidRPr="009E4CF0" w:rsidRDefault="00C933BB" w:rsidP="00B57BD2">
      <w:pPr>
        <w:pStyle w:val="BodyText"/>
        <w:spacing w:before="10"/>
        <w:jc w:val="both"/>
        <w:rPr>
          <w:rFonts w:ascii="Sylfaen" w:hAnsi="Sylfaen"/>
          <w:sz w:val="21"/>
        </w:rPr>
      </w:pPr>
    </w:p>
    <w:p w:rsidR="00C933BB" w:rsidRPr="009E4CF0" w:rsidRDefault="00D12A93" w:rsidP="00B57BD2">
      <w:pPr>
        <w:pStyle w:val="BodyText"/>
        <w:spacing w:before="1"/>
        <w:ind w:left="115"/>
        <w:jc w:val="both"/>
        <w:rPr>
          <w:rFonts w:ascii="Sylfaen" w:hAnsi="Sylfaen"/>
        </w:rPr>
      </w:pPr>
      <w:r w:rsidRPr="009E4CF0">
        <w:rPr>
          <w:rFonts w:ascii="Sylfaen" w:hAnsi="Sylfaen"/>
        </w:rPr>
        <w:t>ცხოველების რეპროდუქციული ტოქსიკურობის შესახებ კვლევები ჯერ კიდევ არ არის დასრულებული.</w:t>
      </w:r>
    </w:p>
    <w:p w:rsidR="00C933BB" w:rsidRPr="009E4CF0" w:rsidRDefault="00C933BB" w:rsidP="00B57BD2">
      <w:pPr>
        <w:pStyle w:val="BodyText"/>
        <w:spacing w:before="2"/>
        <w:jc w:val="both"/>
        <w:rPr>
          <w:rFonts w:ascii="Sylfaen" w:hAnsi="Sylfaen"/>
        </w:rPr>
      </w:pPr>
    </w:p>
    <w:p w:rsidR="00C933BB" w:rsidRPr="009E4CF0" w:rsidRDefault="00D12A93" w:rsidP="00B57BD2">
      <w:pPr>
        <w:pStyle w:val="BodyText"/>
        <w:ind w:left="115" w:right="-18"/>
        <w:jc w:val="both"/>
        <w:rPr>
          <w:rFonts w:ascii="Sylfaen" w:hAnsi="Sylfaen"/>
        </w:rPr>
      </w:pPr>
      <w:r w:rsidRPr="009E4CF0">
        <w:rPr>
          <w:rFonts w:ascii="Sylfaen" w:hAnsi="Sylfaen"/>
        </w:rPr>
        <w:t>სიფრთხილის ზომებიდან გამომდინარე, AstraZeneca-ს COVID-19 ვაქცინით ვაქცინაცია ორსულობის პერიოდში რეკომენდებული არ არის. AstraZeneca-ს COVID-19 ვაქცინის გამოყენება ორსულ ქალებში უნდა ეფუძნებოდეს შეფასებას, თუ რამდენად შეიძლება გადაწონოს მოსალოდნელი რისკები ვაქცინაციით გამოწვეულმა სარგებელმა.</w:t>
      </w:r>
    </w:p>
    <w:p w:rsidR="00C933BB" w:rsidRPr="009E4CF0" w:rsidRDefault="00C933BB" w:rsidP="00B57BD2">
      <w:pPr>
        <w:pStyle w:val="BodyText"/>
        <w:spacing w:before="8"/>
        <w:jc w:val="both"/>
        <w:rPr>
          <w:rFonts w:ascii="Sylfaen" w:hAnsi="Sylfaen"/>
          <w:sz w:val="21"/>
        </w:rPr>
      </w:pPr>
    </w:p>
    <w:p w:rsidR="00C933BB" w:rsidRPr="009E4CF0" w:rsidRDefault="00D12A93" w:rsidP="00B57BD2">
      <w:pPr>
        <w:pStyle w:val="BodyText"/>
        <w:ind w:left="115"/>
        <w:jc w:val="both"/>
        <w:rPr>
          <w:rFonts w:ascii="Sylfaen" w:hAnsi="Sylfaen"/>
        </w:rPr>
      </w:pPr>
      <w:r w:rsidRPr="009E4CF0">
        <w:rPr>
          <w:rFonts w:ascii="Sylfaen" w:hAnsi="Sylfaen"/>
          <w:u w:val="single"/>
        </w:rPr>
        <w:t>ძუძუთი კვება</w:t>
      </w:r>
    </w:p>
    <w:p w:rsidR="00C933BB" w:rsidRPr="009E4CF0" w:rsidRDefault="00D12A93" w:rsidP="00B57BD2">
      <w:pPr>
        <w:pStyle w:val="BodyText"/>
        <w:spacing w:before="1"/>
        <w:ind w:left="115" w:right="38"/>
        <w:jc w:val="both"/>
        <w:rPr>
          <w:rFonts w:ascii="Sylfaen" w:hAnsi="Sylfaen"/>
        </w:rPr>
      </w:pPr>
      <w:r w:rsidRPr="009E4CF0">
        <w:rPr>
          <w:rFonts w:ascii="Sylfaen" w:hAnsi="Sylfaen"/>
        </w:rPr>
        <w:t>AstraZeneca-ს COVID-19 ვაქცინის მეძუძური დედების მიერ გამოყენების შესახებ მონაცემები შეზღუდულია ან არ არსებობს. დაუშვებელია გამოირიცხოს რისკი ბუნებრივ კვებაზე მყოფი ახალშობილების/ჩვილების მიმართ.</w:t>
      </w:r>
    </w:p>
    <w:p w:rsidR="00C933BB" w:rsidRPr="009E4CF0" w:rsidRDefault="00C933BB" w:rsidP="00B57BD2">
      <w:pPr>
        <w:pStyle w:val="BodyText"/>
        <w:jc w:val="both"/>
        <w:rPr>
          <w:rFonts w:ascii="Sylfaen" w:hAnsi="Sylfaen"/>
        </w:rPr>
      </w:pPr>
    </w:p>
    <w:p w:rsidR="00C933BB" w:rsidRPr="009E4CF0" w:rsidRDefault="00D12A93" w:rsidP="00B57BD2">
      <w:pPr>
        <w:pStyle w:val="BodyText"/>
        <w:ind w:left="115" w:right="24"/>
        <w:jc w:val="both"/>
        <w:rPr>
          <w:rFonts w:ascii="Sylfaen" w:hAnsi="Sylfaen"/>
        </w:rPr>
      </w:pPr>
      <w:r w:rsidRPr="009E4CF0">
        <w:rPr>
          <w:rFonts w:ascii="Sylfaen" w:hAnsi="Sylfaen"/>
        </w:rPr>
        <w:t>სიფრთხილის ზომებიდან გამომდინარე, უმჯობესია AstraZeneca-ს COVID-19 ვაქცინით ვაქცინაციისგან თავის შეკავება ძუძუთი კვების დროს.</w:t>
      </w:r>
    </w:p>
    <w:p w:rsidR="00C933BB" w:rsidRPr="009E4CF0" w:rsidRDefault="00C933BB" w:rsidP="00B57BD2">
      <w:pPr>
        <w:pStyle w:val="BodyText"/>
        <w:spacing w:before="11"/>
        <w:jc w:val="both"/>
        <w:rPr>
          <w:rFonts w:ascii="Sylfaen" w:hAnsi="Sylfaen"/>
          <w:sz w:val="21"/>
        </w:rPr>
      </w:pPr>
    </w:p>
    <w:p w:rsidR="00C933BB" w:rsidRPr="009E4CF0" w:rsidRDefault="00D12A93" w:rsidP="00B57BD2">
      <w:pPr>
        <w:pStyle w:val="BodyText"/>
        <w:ind w:left="115"/>
        <w:jc w:val="both"/>
        <w:rPr>
          <w:rFonts w:ascii="Sylfaen" w:hAnsi="Sylfaen"/>
        </w:rPr>
      </w:pPr>
      <w:r w:rsidRPr="009E4CF0">
        <w:rPr>
          <w:rFonts w:ascii="Sylfaen" w:hAnsi="Sylfaen"/>
          <w:u w:val="single"/>
        </w:rPr>
        <w:t>ფერტილურობა</w:t>
      </w:r>
    </w:p>
    <w:p w:rsidR="00C933BB" w:rsidRPr="009E4CF0" w:rsidRDefault="00D12A93" w:rsidP="00B57BD2">
      <w:pPr>
        <w:pStyle w:val="BodyText"/>
        <w:spacing w:before="1"/>
        <w:ind w:left="115"/>
        <w:jc w:val="both"/>
        <w:rPr>
          <w:rFonts w:ascii="Sylfaen" w:hAnsi="Sylfaen"/>
        </w:rPr>
      </w:pPr>
      <w:r w:rsidRPr="009E4CF0">
        <w:rPr>
          <w:rFonts w:ascii="Sylfaen" w:hAnsi="Sylfaen"/>
        </w:rPr>
        <w:t>უცნობია, ახდენს თუ არა AstraZeneca-ს COVID-19 ვაქცინა ფე</w:t>
      </w:r>
      <w:r w:rsidR="00B57BD2" w:rsidRPr="009E4CF0">
        <w:rPr>
          <w:rFonts w:ascii="Sylfaen" w:hAnsi="Sylfaen"/>
        </w:rPr>
        <w:t>რ</w:t>
      </w:r>
      <w:r w:rsidRPr="009E4CF0">
        <w:rPr>
          <w:rFonts w:ascii="Sylfaen" w:hAnsi="Sylfaen"/>
        </w:rPr>
        <w:t>ტილურობაზე. მონაცემები ხელმისაწვდომი არ არის.</w:t>
      </w:r>
    </w:p>
    <w:p w:rsidR="00C933BB" w:rsidRPr="009E4CF0" w:rsidRDefault="00C933BB" w:rsidP="00B57BD2">
      <w:pPr>
        <w:pStyle w:val="BodyText"/>
        <w:spacing w:before="3"/>
        <w:jc w:val="both"/>
        <w:rPr>
          <w:rFonts w:ascii="Sylfaen" w:hAnsi="Sylfaen"/>
        </w:rPr>
      </w:pPr>
    </w:p>
    <w:p w:rsidR="00C933BB" w:rsidRPr="009E4CF0" w:rsidRDefault="00D12A93" w:rsidP="00B57BD2">
      <w:pPr>
        <w:pStyle w:val="Heading1"/>
        <w:numPr>
          <w:ilvl w:val="1"/>
          <w:numId w:val="1"/>
        </w:numPr>
        <w:tabs>
          <w:tab w:val="left" w:pos="682"/>
          <w:tab w:val="left" w:pos="683"/>
        </w:tabs>
        <w:ind w:hanging="568"/>
        <w:jc w:val="both"/>
        <w:rPr>
          <w:rFonts w:ascii="Sylfaen" w:hAnsi="Sylfaen"/>
        </w:rPr>
      </w:pPr>
      <w:r w:rsidRPr="009E4CF0">
        <w:rPr>
          <w:rFonts w:ascii="Sylfaen" w:hAnsi="Sylfaen"/>
        </w:rPr>
        <w:t>ტრანსპორტის მართვის და მანქანა-დანადგარებთან მუშაობის უნარი</w:t>
      </w:r>
    </w:p>
    <w:p w:rsidR="00C933BB" w:rsidRPr="009E4CF0" w:rsidRDefault="00C933BB" w:rsidP="00B57BD2">
      <w:pPr>
        <w:pStyle w:val="BodyText"/>
        <w:spacing w:before="9"/>
        <w:jc w:val="both"/>
        <w:rPr>
          <w:rFonts w:ascii="Sylfaen" w:hAnsi="Sylfaen"/>
          <w:b/>
          <w:sz w:val="21"/>
        </w:rPr>
      </w:pPr>
    </w:p>
    <w:p w:rsidR="00C933BB" w:rsidRPr="009E4CF0" w:rsidRDefault="00D12A93" w:rsidP="00B57BD2">
      <w:pPr>
        <w:pStyle w:val="BodyText"/>
        <w:spacing w:before="1"/>
        <w:ind w:left="115" w:right="24"/>
        <w:jc w:val="both"/>
        <w:rPr>
          <w:rFonts w:ascii="Sylfaen" w:hAnsi="Sylfaen"/>
        </w:rPr>
      </w:pPr>
      <w:r w:rsidRPr="009E4CF0">
        <w:rPr>
          <w:rFonts w:ascii="Sylfaen" w:hAnsi="Sylfaen"/>
        </w:rPr>
        <w:t>AstraZeneca-ს COVID-19 ვაქცინა არ ახდენს ან უმნიშვნელო გავლენას ახდენს ავტოტრანსპორტის მართვისა და მანქანა-დანადგარების გამოყენების უნარზე. თუმცა, ნაწილში 4.8 მითითებულმა ზოგიერთმა უარყოფითმა რეაქციამ შეიძლება დროებითი გავლენა მოახდინოს ავტოტრანსპორტის მართვისა და მანქანა-დანადგარების გამოყენების უნარზე.</w:t>
      </w:r>
    </w:p>
    <w:p w:rsidR="00C933BB" w:rsidRPr="009E4CF0" w:rsidRDefault="00C933BB" w:rsidP="00B57BD2">
      <w:pPr>
        <w:pStyle w:val="BodyText"/>
        <w:spacing w:before="5"/>
        <w:jc w:val="both"/>
        <w:rPr>
          <w:rFonts w:ascii="Sylfaen" w:hAnsi="Sylfaen"/>
        </w:rPr>
      </w:pPr>
    </w:p>
    <w:p w:rsidR="00C933BB" w:rsidRPr="009E4CF0" w:rsidRDefault="00D12A93" w:rsidP="00B57BD2">
      <w:pPr>
        <w:pStyle w:val="Heading1"/>
        <w:numPr>
          <w:ilvl w:val="1"/>
          <w:numId w:val="1"/>
        </w:numPr>
        <w:tabs>
          <w:tab w:val="left" w:pos="682"/>
          <w:tab w:val="left" w:pos="683"/>
        </w:tabs>
        <w:ind w:hanging="568"/>
        <w:jc w:val="both"/>
        <w:rPr>
          <w:rFonts w:ascii="Sylfaen" w:hAnsi="Sylfaen"/>
        </w:rPr>
      </w:pPr>
      <w:r w:rsidRPr="009E4CF0">
        <w:rPr>
          <w:rFonts w:ascii="Sylfaen" w:hAnsi="Sylfaen"/>
        </w:rPr>
        <w:t xml:space="preserve">არასასურველი </w:t>
      </w:r>
      <w:r w:rsidR="008B2D82">
        <w:rPr>
          <w:rFonts w:ascii="Sylfaen" w:hAnsi="Sylfaen"/>
        </w:rPr>
        <w:t>მოვლენები</w:t>
      </w:r>
    </w:p>
    <w:p w:rsidR="00C933BB" w:rsidRPr="009E4CF0" w:rsidRDefault="00C933BB" w:rsidP="00B57BD2">
      <w:pPr>
        <w:pStyle w:val="BodyText"/>
        <w:spacing w:before="5"/>
        <w:jc w:val="both"/>
        <w:rPr>
          <w:rFonts w:ascii="Sylfaen" w:hAnsi="Sylfaen"/>
          <w:b/>
          <w:sz w:val="21"/>
        </w:rPr>
      </w:pPr>
    </w:p>
    <w:p w:rsidR="00C933BB" w:rsidRPr="009E4CF0" w:rsidRDefault="00D12A93" w:rsidP="00B57BD2">
      <w:pPr>
        <w:pStyle w:val="BodyText"/>
        <w:ind w:left="115"/>
        <w:jc w:val="both"/>
        <w:rPr>
          <w:rFonts w:ascii="Sylfaen" w:hAnsi="Sylfaen"/>
        </w:rPr>
      </w:pPr>
      <w:r w:rsidRPr="009E4CF0">
        <w:rPr>
          <w:rFonts w:ascii="Sylfaen" w:hAnsi="Sylfaen"/>
          <w:u w:val="single"/>
        </w:rPr>
        <w:t>უსაფრთხო</w:t>
      </w:r>
      <w:r w:rsidR="00383D6F">
        <w:rPr>
          <w:rFonts w:ascii="Sylfaen" w:hAnsi="Sylfaen"/>
          <w:u w:val="single"/>
        </w:rPr>
        <w:t>ების</w:t>
      </w:r>
      <w:r w:rsidRPr="009E4CF0">
        <w:rPr>
          <w:rFonts w:ascii="Sylfaen" w:hAnsi="Sylfaen"/>
          <w:u w:val="single"/>
        </w:rPr>
        <w:t xml:space="preserve"> პროფილის აღწერა</w:t>
      </w:r>
    </w:p>
    <w:p w:rsidR="00C933BB" w:rsidRPr="009E4CF0" w:rsidRDefault="00D12A93" w:rsidP="00B57BD2">
      <w:pPr>
        <w:pStyle w:val="BodyText"/>
        <w:spacing w:before="1"/>
        <w:ind w:left="115" w:right="40"/>
        <w:jc w:val="both"/>
        <w:rPr>
          <w:rFonts w:ascii="Sylfaen" w:hAnsi="Sylfaen"/>
        </w:rPr>
      </w:pPr>
      <w:r w:rsidRPr="009E4CF0">
        <w:rPr>
          <w:rFonts w:ascii="Sylfaen" w:hAnsi="Sylfaen"/>
        </w:rPr>
        <w:t xml:space="preserve">AstraZeneca-ს COVID-19 ვაქცინის ზოგადი უსაფრთხოება ეფუძნება გაერთიანებულ სამეფოში, ბრაზილიასა და სამხრეთ აფრიკაში ჩატარებულ </w:t>
      </w:r>
      <w:r w:rsidR="00B93D65">
        <w:rPr>
          <w:rFonts w:ascii="Sylfaen" w:hAnsi="Sylfaen"/>
        </w:rPr>
        <w:t xml:space="preserve">კლინიკური კვლევების </w:t>
      </w:r>
      <w:r w:rsidRPr="009E4CF0">
        <w:rPr>
          <w:rFonts w:ascii="Sylfaen" w:hAnsi="Sylfaen"/>
        </w:rPr>
        <w:t>გაერთიანებული მონაცემების შუალედურ ანალიზს. ანალიზის დროს, შემთხვევითობის პრინციპით იქნა შერჩეული ≥18 წლის ასაკის 23,745 მონაწილე, რომლებმაც მიიღეს AstraZeneca-ს COVID-19 ვაქცინა ან კონტროლი. შერჩეულთაგან, 12 021-მა მონაწილემ მიიღო AstraZeneca-ს COVID-19 ვაქცინის სულ მცირე 1 დოზა.</w:t>
      </w:r>
    </w:p>
    <w:p w:rsidR="00C933BB" w:rsidRPr="009E4CF0" w:rsidRDefault="00C933BB" w:rsidP="00B57BD2">
      <w:pPr>
        <w:pStyle w:val="BodyText"/>
        <w:spacing w:before="11"/>
        <w:jc w:val="both"/>
        <w:rPr>
          <w:rFonts w:ascii="Sylfaen" w:hAnsi="Sylfaen"/>
          <w:sz w:val="21"/>
        </w:rPr>
      </w:pPr>
    </w:p>
    <w:p w:rsidR="00C933BB" w:rsidRPr="009E4CF0" w:rsidRDefault="00D12A93" w:rsidP="00B57BD2">
      <w:pPr>
        <w:pStyle w:val="BodyText"/>
        <w:ind w:left="115" w:right="140"/>
        <w:jc w:val="both"/>
        <w:rPr>
          <w:rFonts w:ascii="Sylfaen" w:hAnsi="Sylfaen"/>
        </w:rPr>
      </w:pPr>
      <w:r w:rsidRPr="009E4CF0">
        <w:rPr>
          <w:rFonts w:ascii="Sylfaen" w:hAnsi="Sylfaen"/>
        </w:rPr>
        <w:t>დემოგრაფიული მახასიათებლები ზოგადად ანალოგიური იყო იმ მონაწილეებში, რომლებმაც მიიღეს AstraZeneca-ს COVID-19 ვაქცინა და იმ მონაწილეებში, რომლებმაც მიიღეს კონტროლი. მთლიანობაში, მონაწილეებს შორის, რომლებმაც მიიღეს AstraZeneca-ს COVID-19 ვაქცინა, 90.3% 18-დან 65 წლამდე ასაკის იყო, ხოლო 9.7% - 65 წლის ან 65 წელს გადაცილებული. რეციპიენტების უმრავლესობა იყო თეთრკანიანი (75.5%) და შავკანიანი, ხოლო 3.5% იყო აზიელი; 55.8% იყო ქალი, ხოლო 44.2% - მამაკაცი.</w:t>
      </w:r>
    </w:p>
    <w:p w:rsidR="00C933BB" w:rsidRPr="009E4CF0" w:rsidRDefault="00C933BB" w:rsidP="00B57BD2">
      <w:pPr>
        <w:pStyle w:val="BodyText"/>
        <w:spacing w:before="10"/>
        <w:jc w:val="both"/>
        <w:rPr>
          <w:rFonts w:ascii="Sylfaen" w:hAnsi="Sylfaen"/>
          <w:sz w:val="21"/>
        </w:rPr>
      </w:pPr>
    </w:p>
    <w:p w:rsidR="00C933BB" w:rsidRPr="009E4CF0" w:rsidRDefault="00D12A93" w:rsidP="00B57BD2">
      <w:pPr>
        <w:pStyle w:val="BodyText"/>
        <w:ind w:left="115" w:right="-32"/>
        <w:jc w:val="both"/>
        <w:rPr>
          <w:rFonts w:ascii="Sylfaen" w:hAnsi="Sylfaen"/>
        </w:rPr>
      </w:pPr>
      <w:r w:rsidRPr="009E4CF0">
        <w:rPr>
          <w:rFonts w:ascii="Sylfaen" w:hAnsi="Sylfaen"/>
        </w:rPr>
        <w:t xml:space="preserve">ყველაზე ხშირად </w:t>
      </w:r>
      <w:r w:rsidR="00B93D65">
        <w:rPr>
          <w:rFonts w:ascii="Sylfaen" w:hAnsi="Sylfaen"/>
        </w:rPr>
        <w:t xml:space="preserve">აღრიცხული </w:t>
      </w:r>
      <w:r w:rsidRPr="009E4CF0">
        <w:rPr>
          <w:rFonts w:ascii="Sylfaen" w:hAnsi="Sylfaen"/>
        </w:rPr>
        <w:t>გვერდითი რეაქციები</w:t>
      </w:r>
      <w:r w:rsidR="00B93D65">
        <w:rPr>
          <w:rFonts w:ascii="Sylfaen" w:hAnsi="Sylfaen"/>
        </w:rPr>
        <w:t xml:space="preserve"> იყო</w:t>
      </w:r>
      <w:r w:rsidRPr="009E4CF0">
        <w:rPr>
          <w:rFonts w:ascii="Sylfaen" w:hAnsi="Sylfaen"/>
        </w:rPr>
        <w:t xml:space="preserve"> - ინექციის </w:t>
      </w:r>
      <w:r w:rsidR="00B93D65">
        <w:rPr>
          <w:rFonts w:ascii="Sylfaen" w:hAnsi="Sylfaen"/>
        </w:rPr>
        <w:t>ადგილის მგრძნობელობა</w:t>
      </w:r>
      <w:r w:rsidR="00B93D65" w:rsidRPr="009E4CF0">
        <w:rPr>
          <w:rFonts w:ascii="Sylfaen" w:hAnsi="Sylfaen"/>
        </w:rPr>
        <w:t xml:space="preserve"> </w:t>
      </w:r>
      <w:r w:rsidRPr="009E4CF0">
        <w:rPr>
          <w:rFonts w:ascii="Sylfaen" w:hAnsi="Sylfaen"/>
        </w:rPr>
        <w:t xml:space="preserve">(&gt;60%); ტკივილი ინექციის </w:t>
      </w:r>
      <w:r w:rsidR="00B93D65">
        <w:rPr>
          <w:rFonts w:ascii="Sylfaen" w:hAnsi="Sylfaen"/>
        </w:rPr>
        <w:t>ადგილზე,</w:t>
      </w:r>
      <w:r w:rsidR="00B93D65" w:rsidRPr="009E4CF0">
        <w:rPr>
          <w:rFonts w:ascii="Sylfaen" w:hAnsi="Sylfaen"/>
        </w:rPr>
        <w:t xml:space="preserve"> </w:t>
      </w:r>
      <w:r w:rsidRPr="009E4CF0">
        <w:rPr>
          <w:rFonts w:ascii="Sylfaen" w:hAnsi="Sylfaen"/>
        </w:rPr>
        <w:t>თავის ტკივილი, დაღლილობა  (&gt;50%); მიალგია, სისუსტე  (&gt;40%); ჰიპერთერმია, შემცივნება (&gt;30%); ართრალგია, ცხელება (&gt;20%). გვერდითი რეაქციების უმეტესობა იყო მსუბუქი ან საშუალო სიმძიმის და ჩვეულებრივ, მათი ალაგება ხდებოდა ვაქცინაციიდან რამდენიმე დღეში. პირველ დოზასთან შედარებით, გვერდითი მოვლენები მეორე დოზის მიღების შემდეგ უფრო მსუბუქად გამოვლინდა და ნაკლები სიხშირით ხასიათდებოდა.</w:t>
      </w:r>
    </w:p>
    <w:p w:rsidR="00C933BB" w:rsidRPr="009E4CF0" w:rsidRDefault="00C933BB" w:rsidP="00B57BD2">
      <w:pPr>
        <w:pStyle w:val="BodyText"/>
        <w:spacing w:before="11"/>
        <w:jc w:val="both"/>
        <w:rPr>
          <w:rFonts w:ascii="Sylfaen" w:hAnsi="Sylfaen"/>
          <w:sz w:val="21"/>
        </w:rPr>
      </w:pPr>
    </w:p>
    <w:p w:rsidR="00C933BB" w:rsidRPr="009E4CF0" w:rsidRDefault="00D12A93" w:rsidP="00B57BD2">
      <w:pPr>
        <w:pStyle w:val="BodyText"/>
        <w:ind w:left="115"/>
        <w:jc w:val="both"/>
        <w:rPr>
          <w:rFonts w:ascii="Sylfaen" w:hAnsi="Sylfaen"/>
        </w:rPr>
      </w:pPr>
      <w:r w:rsidRPr="009E4CF0">
        <w:rPr>
          <w:rFonts w:ascii="Sylfaen" w:hAnsi="Sylfaen"/>
        </w:rPr>
        <w:t>გვერდითი მოვლენები, ზოგადად, ნაკლები სიმძიმით და სიხშირით ხასიათდებოდა ასაკოვან პაციენტებში (65 წლის და უფროსი ასაკის).</w:t>
      </w:r>
    </w:p>
    <w:p w:rsidR="00C933BB" w:rsidRPr="009E4CF0" w:rsidRDefault="00C933BB" w:rsidP="00B57BD2">
      <w:pPr>
        <w:jc w:val="both"/>
        <w:rPr>
          <w:rFonts w:ascii="Sylfaen" w:hAnsi="Sylfaen"/>
        </w:rPr>
      </w:pPr>
    </w:p>
    <w:p w:rsidR="00C933BB" w:rsidRPr="009E4CF0" w:rsidRDefault="00D12A93" w:rsidP="007C377F">
      <w:pPr>
        <w:pStyle w:val="BodyText"/>
        <w:spacing w:before="75"/>
        <w:ind w:left="115" w:right="38"/>
        <w:jc w:val="both"/>
        <w:rPr>
          <w:rFonts w:ascii="Sylfaen" w:hAnsi="Sylfaen"/>
        </w:rPr>
      </w:pPr>
      <w:r w:rsidRPr="009E4CF0">
        <w:rPr>
          <w:rFonts w:ascii="Sylfaen" w:hAnsi="Sylfaen"/>
        </w:rPr>
        <w:t xml:space="preserve">ვაქცინაციის შემდგომი გვერდითი რეაქციების სიმპტომების სამკურნალოდ შეიძლება გამოყენებული იქნეს ტკივილგამაყუჩებელი ან/და სიცხის დამწევი სამკურნალო პრეპარატები </w:t>
      </w:r>
      <w:r w:rsidRPr="009E4CF0">
        <w:rPr>
          <w:rFonts w:ascii="Sylfaen" w:hAnsi="Sylfaen"/>
        </w:rPr>
        <w:lastRenderedPageBreak/>
        <w:t>(მაგ., პარაცეტამოლის შემცველი საშუალებები).</w:t>
      </w:r>
    </w:p>
    <w:p w:rsidR="00C933BB" w:rsidRPr="009E4CF0" w:rsidRDefault="00C933BB" w:rsidP="00B57BD2">
      <w:pPr>
        <w:pStyle w:val="BodyText"/>
        <w:spacing w:before="11"/>
        <w:jc w:val="both"/>
        <w:rPr>
          <w:rFonts w:ascii="Sylfaen" w:hAnsi="Sylfaen"/>
          <w:sz w:val="21"/>
        </w:rPr>
      </w:pPr>
    </w:p>
    <w:p w:rsidR="00C933BB" w:rsidRPr="009E4CF0" w:rsidRDefault="00D12A93" w:rsidP="00B57BD2">
      <w:pPr>
        <w:pStyle w:val="BodyText"/>
        <w:ind w:left="115"/>
        <w:jc w:val="both"/>
        <w:rPr>
          <w:rFonts w:ascii="Sylfaen" w:hAnsi="Sylfaen"/>
        </w:rPr>
      </w:pPr>
      <w:r w:rsidRPr="009E4CF0">
        <w:rPr>
          <w:rFonts w:ascii="Sylfaen" w:hAnsi="Sylfaen"/>
          <w:u w:val="single"/>
        </w:rPr>
        <w:t>გვერდითი რეაქციების ჩამონათვლის ცხრილი</w:t>
      </w:r>
    </w:p>
    <w:p w:rsidR="00C933BB" w:rsidRPr="009E4CF0" w:rsidRDefault="00D12A93" w:rsidP="007C377F">
      <w:pPr>
        <w:pStyle w:val="BodyText"/>
        <w:spacing w:before="4" w:line="237" w:lineRule="auto"/>
        <w:ind w:left="115" w:right="10"/>
        <w:jc w:val="both"/>
        <w:rPr>
          <w:rFonts w:ascii="Sylfaen" w:hAnsi="Sylfaen"/>
        </w:rPr>
      </w:pPr>
      <w:r w:rsidRPr="009E4CF0">
        <w:rPr>
          <w:rFonts w:ascii="Sylfaen" w:hAnsi="Sylfaen"/>
        </w:rPr>
        <w:t>გვერდითი რეაქციები პრეპარატზე ორგანიზებულია MedDRA-ს</w:t>
      </w:r>
      <w:r w:rsidR="00041CDD">
        <w:rPr>
          <w:rFonts w:ascii="Sylfaen" w:hAnsi="Sylfaen"/>
        </w:rPr>
        <w:t xml:space="preserve"> </w:t>
      </w:r>
      <w:r w:rsidR="00041CDD" w:rsidRPr="009E4CF0">
        <w:rPr>
          <w:rFonts w:ascii="Sylfaen" w:hAnsi="Sylfaen"/>
        </w:rPr>
        <w:t>მიერ</w:t>
      </w:r>
      <w:r w:rsidRPr="009E4CF0">
        <w:rPr>
          <w:rFonts w:ascii="Sylfaen" w:hAnsi="Sylfaen"/>
        </w:rPr>
        <w:t xml:space="preserve"> </w:t>
      </w:r>
      <w:r w:rsidR="00041CDD">
        <w:rPr>
          <w:rFonts w:ascii="Sylfaen" w:hAnsi="Sylfaen"/>
        </w:rPr>
        <w:t>ორგანოთა სისტემების</w:t>
      </w:r>
      <w:r w:rsidR="00041CDD" w:rsidRPr="009E4CF0">
        <w:rPr>
          <w:rFonts w:ascii="Sylfaen" w:hAnsi="Sylfaen"/>
        </w:rPr>
        <w:t xml:space="preserve"> </w:t>
      </w:r>
      <w:r w:rsidRPr="009E4CF0">
        <w:rPr>
          <w:rFonts w:ascii="Sylfaen" w:hAnsi="Sylfaen"/>
        </w:rPr>
        <w:t>კლას</w:t>
      </w:r>
      <w:r w:rsidR="00041CDD">
        <w:rPr>
          <w:rFonts w:ascii="Sylfaen" w:hAnsi="Sylfaen"/>
        </w:rPr>
        <w:t>ებად</w:t>
      </w:r>
      <w:r w:rsidRPr="009E4CF0">
        <w:rPr>
          <w:rFonts w:ascii="Sylfaen" w:hAnsi="Sylfaen"/>
        </w:rPr>
        <w:t xml:space="preserve"> (SOC). </w:t>
      </w:r>
      <w:r w:rsidR="008B2D82">
        <w:rPr>
          <w:rFonts w:ascii="Sylfaen" w:hAnsi="Sylfaen"/>
        </w:rPr>
        <w:t>ორგ</w:t>
      </w:r>
      <w:r w:rsidR="00041CDD">
        <w:rPr>
          <w:rFonts w:ascii="Sylfaen" w:hAnsi="Sylfaen"/>
        </w:rPr>
        <w:t>ანოთა</w:t>
      </w:r>
      <w:r w:rsidRPr="009E4CF0">
        <w:rPr>
          <w:rFonts w:ascii="Sylfaen" w:hAnsi="Sylfaen"/>
        </w:rPr>
        <w:t xml:space="preserve"> </w:t>
      </w:r>
      <w:r w:rsidR="00041CDD" w:rsidRPr="009E4CF0">
        <w:rPr>
          <w:rFonts w:ascii="Sylfaen" w:hAnsi="Sylfaen"/>
        </w:rPr>
        <w:t>თითოეულ</w:t>
      </w:r>
      <w:r w:rsidR="008B2D82">
        <w:rPr>
          <w:rFonts w:ascii="Sylfaen" w:hAnsi="Sylfaen"/>
        </w:rPr>
        <w:t>ი</w:t>
      </w:r>
      <w:r w:rsidR="00041CDD" w:rsidRPr="009E4CF0">
        <w:rPr>
          <w:rFonts w:ascii="Sylfaen" w:hAnsi="Sylfaen"/>
        </w:rPr>
        <w:t xml:space="preserve"> </w:t>
      </w:r>
      <w:r w:rsidR="00041CDD">
        <w:rPr>
          <w:rFonts w:ascii="Sylfaen" w:hAnsi="Sylfaen"/>
        </w:rPr>
        <w:t xml:space="preserve">სისტემის </w:t>
      </w:r>
      <w:r w:rsidRPr="009E4CF0">
        <w:rPr>
          <w:rFonts w:ascii="Sylfaen" w:hAnsi="Sylfaen"/>
        </w:rPr>
        <w:t>კლასში ტერმინები დალაგებული</w:t>
      </w:r>
      <w:r w:rsidR="00B93D65">
        <w:rPr>
          <w:rFonts w:ascii="Sylfaen" w:hAnsi="Sylfaen"/>
        </w:rPr>
        <w:t>ა</w:t>
      </w:r>
      <w:r w:rsidRPr="009E4CF0">
        <w:rPr>
          <w:rFonts w:ascii="Sylfaen" w:hAnsi="Sylfaen"/>
        </w:rPr>
        <w:t xml:space="preserve"> დაღმავალი სიხშირით და შემდეგ კი სირთულის </w:t>
      </w:r>
      <w:r w:rsidR="00686647">
        <w:rPr>
          <w:rFonts w:ascii="Sylfaen" w:hAnsi="Sylfaen"/>
        </w:rPr>
        <w:t xml:space="preserve">კლების </w:t>
      </w:r>
      <w:r w:rsidRPr="009E4CF0">
        <w:rPr>
          <w:rFonts w:ascii="Sylfaen" w:hAnsi="Sylfaen"/>
        </w:rPr>
        <w:t>მიხედვით.</w:t>
      </w:r>
    </w:p>
    <w:p w:rsidR="00C933BB" w:rsidRPr="009E4CF0" w:rsidRDefault="00D12A93" w:rsidP="007C377F">
      <w:pPr>
        <w:pStyle w:val="BodyText"/>
        <w:spacing w:before="1"/>
        <w:ind w:left="115" w:right="24"/>
        <w:jc w:val="both"/>
        <w:rPr>
          <w:rFonts w:ascii="Sylfaen" w:hAnsi="Sylfaen"/>
        </w:rPr>
      </w:pPr>
      <w:r w:rsidRPr="009E4CF0">
        <w:rPr>
          <w:rFonts w:ascii="Sylfaen" w:hAnsi="Sylfaen"/>
        </w:rPr>
        <w:t xml:space="preserve">გვერდითი რეაქციების შემთხვევების სიხშირე განისაზღვრება როგორც ძალიან ხშირი (≥1/10); ხშირი (≥1/100 </w:t>
      </w:r>
      <w:r w:rsidR="00025E27" w:rsidRPr="009E4CF0">
        <w:rPr>
          <w:rFonts w:ascii="Sylfaen" w:hAnsi="Sylfaen"/>
        </w:rPr>
        <w:t>-</w:t>
      </w:r>
      <w:r w:rsidRPr="009E4CF0">
        <w:rPr>
          <w:rFonts w:ascii="Sylfaen" w:hAnsi="Sylfaen"/>
        </w:rPr>
        <w:t xml:space="preserve"> &lt;1/10); არც თუ ისე ხშირი (≥1/1,000 </w:t>
      </w:r>
      <w:r w:rsidR="00025E27" w:rsidRPr="009E4CF0">
        <w:rPr>
          <w:rFonts w:ascii="Sylfaen" w:hAnsi="Sylfaen"/>
        </w:rPr>
        <w:t>- &lt;1/100); იშვიათი (≥1/10,000 -</w:t>
      </w:r>
      <w:r w:rsidRPr="009E4CF0">
        <w:rPr>
          <w:rFonts w:ascii="Sylfaen" w:hAnsi="Sylfaen"/>
        </w:rPr>
        <w:t xml:space="preserve"> &lt;1/1000); ძალიან იშვიათი (&lt;1/10,000) და </w:t>
      </w:r>
      <w:r w:rsidR="00686647">
        <w:rPr>
          <w:rFonts w:ascii="Sylfaen" w:hAnsi="Sylfaen"/>
        </w:rPr>
        <w:t>უცნობი</w:t>
      </w:r>
      <w:r w:rsidRPr="009E4CF0">
        <w:rPr>
          <w:rFonts w:ascii="Sylfaen" w:hAnsi="Sylfaen"/>
        </w:rPr>
        <w:t xml:space="preserve"> (არსებული მონაცემებით დადგენა შეუძლებელია).</w:t>
      </w:r>
    </w:p>
    <w:p w:rsidR="00C933BB" w:rsidRPr="009E4CF0" w:rsidRDefault="00C933BB" w:rsidP="00B57BD2">
      <w:pPr>
        <w:pStyle w:val="BodyText"/>
        <w:spacing w:before="5"/>
        <w:jc w:val="both"/>
        <w:rPr>
          <w:rFonts w:ascii="Sylfaen" w:hAnsi="Sylfaen"/>
        </w:rPr>
      </w:pPr>
    </w:p>
    <w:p w:rsidR="00C933BB" w:rsidRPr="009E4CF0" w:rsidRDefault="00D12A93" w:rsidP="00B57BD2">
      <w:pPr>
        <w:pStyle w:val="Heading1"/>
        <w:tabs>
          <w:tab w:val="left" w:pos="1555"/>
        </w:tabs>
        <w:ind w:left="115" w:firstLine="0"/>
        <w:jc w:val="both"/>
        <w:rPr>
          <w:rFonts w:ascii="Sylfaen" w:hAnsi="Sylfaen"/>
        </w:rPr>
      </w:pPr>
      <w:r w:rsidRPr="009E4CF0">
        <w:rPr>
          <w:rFonts w:ascii="Sylfaen" w:hAnsi="Sylfaen"/>
        </w:rPr>
        <w:t xml:space="preserve">ცხრილი 1 </w:t>
      </w:r>
      <w:r w:rsidRPr="009E4CF0">
        <w:rPr>
          <w:rFonts w:ascii="Sylfaen" w:hAnsi="Sylfaen"/>
        </w:rPr>
        <w:tab/>
        <w:t xml:space="preserve"> </w:t>
      </w:r>
      <w:r w:rsidR="00686647">
        <w:rPr>
          <w:rFonts w:ascii="Sylfaen" w:hAnsi="Sylfaen"/>
        </w:rPr>
        <w:t>პრეპარატის</w:t>
      </w:r>
      <w:r w:rsidR="00686647" w:rsidRPr="009E4CF0">
        <w:rPr>
          <w:rFonts w:ascii="Sylfaen" w:hAnsi="Sylfaen"/>
        </w:rPr>
        <w:t xml:space="preserve"> </w:t>
      </w:r>
      <w:r w:rsidRPr="009E4CF0">
        <w:rPr>
          <w:rFonts w:ascii="Sylfaen" w:hAnsi="Sylfaen"/>
        </w:rPr>
        <w:t>გვერდითი რეაქციები</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2"/>
        <w:gridCol w:w="2103"/>
        <w:gridCol w:w="3399"/>
      </w:tblGrid>
      <w:tr w:rsidR="00C933BB" w:rsidRPr="009E4CF0">
        <w:trPr>
          <w:trHeight w:val="326"/>
        </w:trPr>
        <w:tc>
          <w:tcPr>
            <w:tcW w:w="3562" w:type="dxa"/>
          </w:tcPr>
          <w:p w:rsidR="00C933BB" w:rsidRPr="009E4CF0" w:rsidRDefault="00D12A93" w:rsidP="00B57BD2">
            <w:pPr>
              <w:pStyle w:val="TableParagraph"/>
              <w:spacing w:before="1"/>
              <w:ind w:left="110"/>
              <w:jc w:val="both"/>
              <w:rPr>
                <w:rFonts w:ascii="Sylfaen" w:hAnsi="Sylfaen"/>
                <w:b/>
              </w:rPr>
            </w:pPr>
            <w:r w:rsidRPr="009E4CF0">
              <w:rPr>
                <w:rFonts w:ascii="Sylfaen" w:hAnsi="Sylfaen"/>
                <w:b/>
              </w:rPr>
              <w:t>MedDRA-ს სისტემურ-ორგანული კლასი (SOC)</w:t>
            </w:r>
          </w:p>
        </w:tc>
        <w:tc>
          <w:tcPr>
            <w:tcW w:w="2103" w:type="dxa"/>
          </w:tcPr>
          <w:p w:rsidR="00C933BB" w:rsidRPr="009E4CF0" w:rsidRDefault="00D12A93" w:rsidP="00B57BD2">
            <w:pPr>
              <w:pStyle w:val="TableParagraph"/>
              <w:spacing w:before="1"/>
              <w:ind w:left="109"/>
              <w:jc w:val="both"/>
              <w:rPr>
                <w:rFonts w:ascii="Sylfaen" w:hAnsi="Sylfaen"/>
                <w:b/>
              </w:rPr>
            </w:pPr>
            <w:r w:rsidRPr="009E4CF0">
              <w:rPr>
                <w:rFonts w:ascii="Sylfaen" w:hAnsi="Sylfaen"/>
                <w:b/>
              </w:rPr>
              <w:t>სიხშირე</w:t>
            </w:r>
          </w:p>
        </w:tc>
        <w:tc>
          <w:tcPr>
            <w:tcW w:w="3399" w:type="dxa"/>
          </w:tcPr>
          <w:p w:rsidR="00C933BB" w:rsidRPr="009E4CF0" w:rsidRDefault="00D12A93" w:rsidP="00B57BD2">
            <w:pPr>
              <w:pStyle w:val="TableParagraph"/>
              <w:spacing w:before="1"/>
              <w:ind w:left="109"/>
              <w:jc w:val="both"/>
              <w:rPr>
                <w:rFonts w:ascii="Sylfaen" w:hAnsi="Sylfaen"/>
                <w:b/>
              </w:rPr>
            </w:pPr>
            <w:r w:rsidRPr="009E4CF0">
              <w:rPr>
                <w:rFonts w:ascii="Sylfaen" w:hAnsi="Sylfaen"/>
                <w:b/>
              </w:rPr>
              <w:t>გვერდითი რეაქციები</w:t>
            </w:r>
          </w:p>
        </w:tc>
      </w:tr>
      <w:tr w:rsidR="00C933BB" w:rsidRPr="009E4CF0">
        <w:trPr>
          <w:trHeight w:val="249"/>
        </w:trPr>
        <w:tc>
          <w:tcPr>
            <w:tcW w:w="3562" w:type="dxa"/>
          </w:tcPr>
          <w:p w:rsidR="00C933BB" w:rsidRPr="009E4CF0" w:rsidRDefault="00D12A93" w:rsidP="00B57BD2">
            <w:pPr>
              <w:pStyle w:val="TableParagraph"/>
              <w:spacing w:line="229" w:lineRule="exact"/>
              <w:ind w:left="110"/>
              <w:jc w:val="both"/>
              <w:rPr>
                <w:rFonts w:ascii="Sylfaen" w:hAnsi="Sylfaen"/>
              </w:rPr>
            </w:pPr>
            <w:r w:rsidRPr="009E4CF0">
              <w:rPr>
                <w:rFonts w:ascii="Sylfaen" w:hAnsi="Sylfaen"/>
              </w:rPr>
              <w:t>ნერვული სისტემის დარღვევები</w:t>
            </w:r>
          </w:p>
        </w:tc>
        <w:tc>
          <w:tcPr>
            <w:tcW w:w="2103" w:type="dxa"/>
          </w:tcPr>
          <w:p w:rsidR="00C933BB" w:rsidRPr="009E4CF0" w:rsidRDefault="00D12A93" w:rsidP="00B57BD2">
            <w:pPr>
              <w:pStyle w:val="TableParagraph"/>
              <w:spacing w:line="229" w:lineRule="exact"/>
              <w:ind w:left="109"/>
              <w:jc w:val="both"/>
              <w:rPr>
                <w:rFonts w:ascii="Sylfaen" w:hAnsi="Sylfaen"/>
              </w:rPr>
            </w:pPr>
            <w:r w:rsidRPr="009E4CF0">
              <w:rPr>
                <w:rFonts w:ascii="Sylfaen" w:hAnsi="Sylfaen"/>
              </w:rPr>
              <w:t>ძალიან ხშირი</w:t>
            </w:r>
          </w:p>
        </w:tc>
        <w:tc>
          <w:tcPr>
            <w:tcW w:w="3399" w:type="dxa"/>
          </w:tcPr>
          <w:p w:rsidR="00C933BB" w:rsidRPr="009E4CF0" w:rsidRDefault="00D12A93" w:rsidP="00B57BD2">
            <w:pPr>
              <w:pStyle w:val="TableParagraph"/>
              <w:spacing w:line="229" w:lineRule="exact"/>
              <w:ind w:left="109"/>
              <w:jc w:val="both"/>
              <w:rPr>
                <w:rFonts w:ascii="Sylfaen" w:hAnsi="Sylfaen"/>
              </w:rPr>
            </w:pPr>
            <w:r w:rsidRPr="009E4CF0">
              <w:rPr>
                <w:rFonts w:ascii="Sylfaen" w:hAnsi="Sylfaen"/>
              </w:rPr>
              <w:t>თავის ტკივილი</w:t>
            </w:r>
          </w:p>
        </w:tc>
      </w:tr>
      <w:tr w:rsidR="00C933BB" w:rsidRPr="009E4CF0">
        <w:trPr>
          <w:trHeight w:val="263"/>
        </w:trPr>
        <w:tc>
          <w:tcPr>
            <w:tcW w:w="3562" w:type="dxa"/>
          </w:tcPr>
          <w:p w:rsidR="00C933BB" w:rsidRPr="009E4CF0" w:rsidRDefault="00D12A93" w:rsidP="00B57BD2">
            <w:pPr>
              <w:pStyle w:val="TableParagraph"/>
              <w:spacing w:line="244" w:lineRule="exact"/>
              <w:ind w:left="110"/>
              <w:jc w:val="both"/>
              <w:rPr>
                <w:rFonts w:ascii="Sylfaen" w:hAnsi="Sylfaen"/>
              </w:rPr>
            </w:pPr>
            <w:r w:rsidRPr="009E4CF0">
              <w:rPr>
                <w:rFonts w:ascii="Sylfaen" w:hAnsi="Sylfaen"/>
              </w:rPr>
              <w:t>კუჭ-ნაწლავის დარღვევები</w:t>
            </w:r>
          </w:p>
        </w:tc>
        <w:tc>
          <w:tcPr>
            <w:tcW w:w="2103" w:type="dxa"/>
          </w:tcPr>
          <w:p w:rsidR="00C933BB" w:rsidRPr="009E4CF0" w:rsidRDefault="00D12A93" w:rsidP="00025E27">
            <w:pPr>
              <w:pStyle w:val="TableParagraph"/>
              <w:spacing w:line="244" w:lineRule="exact"/>
              <w:ind w:left="109"/>
              <w:jc w:val="both"/>
              <w:rPr>
                <w:rFonts w:ascii="Sylfaen" w:hAnsi="Sylfaen"/>
              </w:rPr>
            </w:pPr>
            <w:r w:rsidRPr="009E4CF0">
              <w:rPr>
                <w:rFonts w:ascii="Sylfaen" w:hAnsi="Sylfaen"/>
              </w:rPr>
              <w:t xml:space="preserve">ძალიან </w:t>
            </w:r>
            <w:r w:rsidR="00025E27" w:rsidRPr="009E4CF0">
              <w:rPr>
                <w:rFonts w:ascii="Sylfaen" w:hAnsi="Sylfaen"/>
              </w:rPr>
              <w:t>ხშირი</w:t>
            </w:r>
          </w:p>
        </w:tc>
        <w:tc>
          <w:tcPr>
            <w:tcW w:w="3399" w:type="dxa"/>
          </w:tcPr>
          <w:p w:rsidR="00C933BB" w:rsidRPr="009E4CF0" w:rsidRDefault="00D12A93" w:rsidP="00B57BD2">
            <w:pPr>
              <w:pStyle w:val="TableParagraph"/>
              <w:spacing w:line="244" w:lineRule="exact"/>
              <w:ind w:left="109"/>
              <w:jc w:val="both"/>
              <w:rPr>
                <w:rFonts w:ascii="Sylfaen" w:hAnsi="Sylfaen"/>
              </w:rPr>
            </w:pPr>
            <w:r w:rsidRPr="009E4CF0">
              <w:rPr>
                <w:rFonts w:ascii="Sylfaen" w:hAnsi="Sylfaen"/>
              </w:rPr>
              <w:t>ცხელება</w:t>
            </w:r>
          </w:p>
        </w:tc>
      </w:tr>
      <w:tr w:rsidR="00C933BB" w:rsidRPr="009E4CF0">
        <w:trPr>
          <w:trHeight w:val="508"/>
        </w:trPr>
        <w:tc>
          <w:tcPr>
            <w:tcW w:w="3562" w:type="dxa"/>
          </w:tcPr>
          <w:p w:rsidR="00C933BB" w:rsidRPr="009E4CF0" w:rsidRDefault="00D12A93" w:rsidP="00B57BD2">
            <w:pPr>
              <w:pStyle w:val="TableParagraph"/>
              <w:spacing w:line="249" w:lineRule="exact"/>
              <w:ind w:left="110"/>
              <w:jc w:val="both"/>
              <w:rPr>
                <w:rFonts w:ascii="Sylfaen" w:hAnsi="Sylfaen"/>
              </w:rPr>
            </w:pPr>
            <w:r w:rsidRPr="009E4CF0">
              <w:rPr>
                <w:rFonts w:ascii="Sylfaen" w:hAnsi="Sylfaen"/>
              </w:rPr>
              <w:t>ძვლოვან-კუნთოვანი და შემაერთებელქსოვილოვანი</w:t>
            </w:r>
          </w:p>
          <w:p w:rsidR="00C933BB" w:rsidRPr="009E4CF0" w:rsidRDefault="00D12A93" w:rsidP="00B57BD2">
            <w:pPr>
              <w:pStyle w:val="TableParagraph"/>
              <w:spacing w:before="1" w:line="238" w:lineRule="exact"/>
              <w:ind w:left="110"/>
              <w:jc w:val="both"/>
              <w:rPr>
                <w:rFonts w:ascii="Sylfaen" w:hAnsi="Sylfaen"/>
              </w:rPr>
            </w:pPr>
            <w:r w:rsidRPr="009E4CF0">
              <w:rPr>
                <w:rFonts w:ascii="Sylfaen" w:hAnsi="Sylfaen"/>
              </w:rPr>
              <w:t>დარღვევები</w:t>
            </w:r>
          </w:p>
        </w:tc>
        <w:tc>
          <w:tcPr>
            <w:tcW w:w="2103" w:type="dxa"/>
          </w:tcPr>
          <w:p w:rsidR="00C933BB" w:rsidRPr="009E4CF0" w:rsidRDefault="00D12A93" w:rsidP="00B57BD2">
            <w:pPr>
              <w:pStyle w:val="TableParagraph"/>
              <w:spacing w:line="249" w:lineRule="exact"/>
              <w:ind w:left="109"/>
              <w:jc w:val="both"/>
              <w:rPr>
                <w:rFonts w:ascii="Sylfaen" w:hAnsi="Sylfaen"/>
              </w:rPr>
            </w:pPr>
            <w:r w:rsidRPr="009E4CF0">
              <w:rPr>
                <w:rFonts w:ascii="Sylfaen" w:hAnsi="Sylfaen"/>
              </w:rPr>
              <w:t>ძალიან ხშირი</w:t>
            </w:r>
          </w:p>
        </w:tc>
        <w:tc>
          <w:tcPr>
            <w:tcW w:w="3399" w:type="dxa"/>
          </w:tcPr>
          <w:p w:rsidR="00C933BB" w:rsidRPr="009E4CF0" w:rsidRDefault="00D12A93" w:rsidP="00B57BD2">
            <w:pPr>
              <w:pStyle w:val="TableParagraph"/>
              <w:spacing w:line="249" w:lineRule="exact"/>
              <w:ind w:left="109"/>
              <w:jc w:val="both"/>
              <w:rPr>
                <w:rFonts w:ascii="Sylfaen" w:hAnsi="Sylfaen"/>
              </w:rPr>
            </w:pPr>
            <w:r w:rsidRPr="009E4CF0">
              <w:rPr>
                <w:rFonts w:ascii="Sylfaen" w:hAnsi="Sylfaen"/>
              </w:rPr>
              <w:t>მიალგია, ართრალგია</w:t>
            </w:r>
          </w:p>
        </w:tc>
      </w:tr>
      <w:tr w:rsidR="00C933BB" w:rsidRPr="009E4CF0">
        <w:trPr>
          <w:trHeight w:val="1007"/>
        </w:trPr>
        <w:tc>
          <w:tcPr>
            <w:tcW w:w="3562" w:type="dxa"/>
            <w:vMerge w:val="restart"/>
          </w:tcPr>
          <w:p w:rsidR="00C933BB" w:rsidRPr="009E4CF0" w:rsidRDefault="00D12A93" w:rsidP="00686647">
            <w:pPr>
              <w:pStyle w:val="TableParagraph"/>
              <w:spacing w:line="242" w:lineRule="auto"/>
              <w:ind w:left="110"/>
              <w:jc w:val="both"/>
              <w:rPr>
                <w:rFonts w:ascii="Sylfaen" w:hAnsi="Sylfaen"/>
              </w:rPr>
            </w:pPr>
            <w:r w:rsidRPr="009E4CF0">
              <w:rPr>
                <w:rFonts w:ascii="Sylfaen" w:hAnsi="Sylfaen"/>
              </w:rPr>
              <w:t xml:space="preserve">ზოგადი დარღვევები და ინექციის </w:t>
            </w:r>
            <w:r w:rsidR="00686647">
              <w:rPr>
                <w:rFonts w:ascii="Sylfaen" w:hAnsi="Sylfaen"/>
              </w:rPr>
              <w:t>ადგილის</w:t>
            </w:r>
            <w:r w:rsidR="00686647" w:rsidRPr="009E4CF0">
              <w:rPr>
                <w:rFonts w:ascii="Sylfaen" w:hAnsi="Sylfaen"/>
              </w:rPr>
              <w:t xml:space="preserve"> </w:t>
            </w:r>
            <w:r w:rsidRPr="009E4CF0">
              <w:rPr>
                <w:rFonts w:ascii="Sylfaen" w:hAnsi="Sylfaen"/>
              </w:rPr>
              <w:t>მდგომარეობა</w:t>
            </w:r>
          </w:p>
        </w:tc>
        <w:tc>
          <w:tcPr>
            <w:tcW w:w="2103" w:type="dxa"/>
          </w:tcPr>
          <w:p w:rsidR="00C933BB" w:rsidRPr="009E4CF0" w:rsidRDefault="00D12A93" w:rsidP="00B57BD2">
            <w:pPr>
              <w:pStyle w:val="TableParagraph"/>
              <w:spacing w:line="244" w:lineRule="exact"/>
              <w:ind w:left="109"/>
              <w:jc w:val="both"/>
              <w:rPr>
                <w:rFonts w:ascii="Sylfaen" w:hAnsi="Sylfaen"/>
              </w:rPr>
            </w:pPr>
            <w:r w:rsidRPr="009E4CF0">
              <w:rPr>
                <w:rFonts w:ascii="Sylfaen" w:hAnsi="Sylfaen"/>
              </w:rPr>
              <w:t>ძალიან ხშირი</w:t>
            </w:r>
          </w:p>
        </w:tc>
        <w:tc>
          <w:tcPr>
            <w:tcW w:w="3399" w:type="dxa"/>
          </w:tcPr>
          <w:p w:rsidR="00C933BB" w:rsidRPr="009E4CF0" w:rsidRDefault="00D12A93" w:rsidP="00B57BD2">
            <w:pPr>
              <w:pStyle w:val="TableParagraph"/>
              <w:spacing w:line="242" w:lineRule="auto"/>
              <w:ind w:left="109"/>
              <w:jc w:val="both"/>
              <w:rPr>
                <w:rFonts w:ascii="Sylfaen" w:hAnsi="Sylfaen"/>
              </w:rPr>
            </w:pPr>
            <w:r w:rsidRPr="009E4CF0">
              <w:rPr>
                <w:rFonts w:ascii="Sylfaen" w:hAnsi="Sylfaen"/>
              </w:rPr>
              <w:t>ინექციის უბნის სიწითლე, ინექციის უბნის ტკივილი, ტემპერატურის მომატება ინექციის უბანზე,</w:t>
            </w:r>
          </w:p>
          <w:p w:rsidR="00C933BB" w:rsidRPr="009E4CF0" w:rsidRDefault="00D12A93" w:rsidP="00B57BD2">
            <w:pPr>
              <w:pStyle w:val="TableParagraph"/>
              <w:spacing w:line="250" w:lineRule="exact"/>
              <w:ind w:left="109" w:right="614"/>
              <w:jc w:val="both"/>
              <w:rPr>
                <w:rFonts w:ascii="Sylfaen" w:hAnsi="Sylfaen"/>
              </w:rPr>
            </w:pPr>
            <w:r w:rsidRPr="009E4CF0">
              <w:rPr>
                <w:rFonts w:ascii="Sylfaen" w:hAnsi="Sylfaen"/>
              </w:rPr>
              <w:t>ინექციის უბნის ქავილი, დაღლილობა, სისუსტე, ჰიპერთერმია</w:t>
            </w:r>
            <w:r w:rsidRPr="009E4CF0">
              <w:rPr>
                <w:rFonts w:ascii="Sylfaen" w:hAnsi="Sylfaen"/>
                <w:vertAlign w:val="superscript"/>
              </w:rPr>
              <w:t>ა</w:t>
            </w:r>
            <w:r w:rsidRPr="009E4CF0">
              <w:rPr>
                <w:rFonts w:ascii="Sylfaen" w:hAnsi="Sylfaen"/>
              </w:rPr>
              <w:t>, შემცივნება</w:t>
            </w:r>
          </w:p>
        </w:tc>
      </w:tr>
      <w:tr w:rsidR="00C933BB" w:rsidRPr="009E4CF0">
        <w:trPr>
          <w:trHeight w:val="505"/>
        </w:trPr>
        <w:tc>
          <w:tcPr>
            <w:tcW w:w="3562" w:type="dxa"/>
            <w:vMerge/>
            <w:tcBorders>
              <w:top w:val="nil"/>
            </w:tcBorders>
          </w:tcPr>
          <w:p w:rsidR="00C933BB" w:rsidRPr="009E4CF0" w:rsidRDefault="00C933BB" w:rsidP="00B57BD2">
            <w:pPr>
              <w:jc w:val="both"/>
              <w:rPr>
                <w:rFonts w:ascii="Sylfaen" w:hAnsi="Sylfaen"/>
                <w:sz w:val="2"/>
                <w:szCs w:val="2"/>
              </w:rPr>
            </w:pPr>
          </w:p>
        </w:tc>
        <w:tc>
          <w:tcPr>
            <w:tcW w:w="2103" w:type="dxa"/>
          </w:tcPr>
          <w:p w:rsidR="00C933BB" w:rsidRPr="009E4CF0" w:rsidRDefault="00025E27" w:rsidP="00B57BD2">
            <w:pPr>
              <w:pStyle w:val="TableParagraph"/>
              <w:spacing w:line="246" w:lineRule="exact"/>
              <w:ind w:left="109"/>
              <w:jc w:val="both"/>
              <w:rPr>
                <w:rFonts w:ascii="Sylfaen" w:hAnsi="Sylfaen"/>
              </w:rPr>
            </w:pPr>
            <w:r w:rsidRPr="009E4CF0">
              <w:rPr>
                <w:rFonts w:ascii="Sylfaen" w:hAnsi="Sylfaen"/>
              </w:rPr>
              <w:t>ხშირი</w:t>
            </w:r>
          </w:p>
        </w:tc>
        <w:tc>
          <w:tcPr>
            <w:tcW w:w="3399" w:type="dxa"/>
          </w:tcPr>
          <w:p w:rsidR="00C933BB" w:rsidRPr="009E4CF0" w:rsidRDefault="00D12A93" w:rsidP="00B57BD2">
            <w:pPr>
              <w:pStyle w:val="TableParagraph"/>
              <w:spacing w:line="246" w:lineRule="exact"/>
              <w:ind w:left="109"/>
              <w:jc w:val="both"/>
              <w:rPr>
                <w:rFonts w:ascii="Sylfaen" w:hAnsi="Sylfaen"/>
              </w:rPr>
            </w:pPr>
            <w:r w:rsidRPr="009E4CF0">
              <w:rPr>
                <w:rFonts w:ascii="Sylfaen" w:hAnsi="Sylfaen"/>
              </w:rPr>
              <w:t>ინექციის უბნის შეშუპება, ინექციის</w:t>
            </w:r>
          </w:p>
          <w:p w:rsidR="00C933BB" w:rsidRPr="009E4CF0" w:rsidRDefault="00D12A93" w:rsidP="00B57BD2">
            <w:pPr>
              <w:pStyle w:val="TableParagraph"/>
              <w:spacing w:before="1" w:line="238" w:lineRule="exact"/>
              <w:ind w:left="109"/>
              <w:jc w:val="both"/>
              <w:rPr>
                <w:rFonts w:ascii="Sylfaen" w:hAnsi="Sylfaen"/>
              </w:rPr>
            </w:pPr>
            <w:r w:rsidRPr="009E4CF0">
              <w:rPr>
                <w:rFonts w:ascii="Sylfaen" w:hAnsi="Sylfaen"/>
              </w:rPr>
              <w:t>უბნის სიწითლე</w:t>
            </w:r>
          </w:p>
        </w:tc>
      </w:tr>
    </w:tbl>
    <w:p w:rsidR="00C933BB" w:rsidRPr="009E4CF0" w:rsidRDefault="00D12A93" w:rsidP="00B57BD2">
      <w:pPr>
        <w:ind w:left="115"/>
        <w:jc w:val="both"/>
        <w:rPr>
          <w:rFonts w:ascii="Sylfaen" w:hAnsi="Sylfaen"/>
          <w:sz w:val="20"/>
        </w:rPr>
      </w:pPr>
      <w:r w:rsidRPr="009E4CF0">
        <w:rPr>
          <w:rFonts w:ascii="Sylfaen" w:hAnsi="Sylfaen"/>
          <w:position w:val="7"/>
          <w:sz w:val="13"/>
        </w:rPr>
        <w:t xml:space="preserve">ა </w:t>
      </w:r>
      <w:r w:rsidRPr="009E4CF0">
        <w:rPr>
          <w:rFonts w:ascii="Sylfaen" w:hAnsi="Sylfaen"/>
          <w:sz w:val="20"/>
        </w:rPr>
        <w:t xml:space="preserve">ჰიპერთერმია </w:t>
      </w:r>
      <w:r w:rsidR="004B69F8" w:rsidRPr="009E4CF0">
        <w:rPr>
          <w:rFonts w:ascii="Sylfaen" w:hAnsi="Sylfaen"/>
          <w:sz w:val="20"/>
        </w:rPr>
        <w:t>გულისხმობს</w:t>
      </w:r>
      <w:r w:rsidRPr="009E4CF0">
        <w:rPr>
          <w:rFonts w:ascii="Sylfaen" w:hAnsi="Sylfaen"/>
          <w:sz w:val="20"/>
        </w:rPr>
        <w:t xml:space="preserve"> ტემპერატურის მატემას (ძალიან ხშირი) და ცხელებას ≥38</w:t>
      </w:r>
      <w:r w:rsidRPr="009E4CF0">
        <w:rPr>
          <w:rFonts w:ascii="Sylfaen" w:hAnsi="Sylfaen"/>
        </w:rPr>
        <w:t xml:space="preserve">°C </w:t>
      </w:r>
      <w:r w:rsidRPr="009E4CF0">
        <w:rPr>
          <w:rFonts w:ascii="Sylfaen" w:hAnsi="Sylfaen"/>
          <w:sz w:val="20"/>
        </w:rPr>
        <w:t>(ხშირი)</w:t>
      </w:r>
    </w:p>
    <w:p w:rsidR="00C933BB" w:rsidRPr="009E4CF0" w:rsidRDefault="00C933BB" w:rsidP="00B57BD2">
      <w:pPr>
        <w:pStyle w:val="BodyText"/>
        <w:spacing w:before="9"/>
        <w:jc w:val="both"/>
        <w:rPr>
          <w:rFonts w:ascii="Sylfaen" w:hAnsi="Sylfaen"/>
          <w:sz w:val="21"/>
        </w:rPr>
      </w:pPr>
    </w:p>
    <w:p w:rsidR="00C933BB" w:rsidRPr="009E4CF0" w:rsidRDefault="00686647" w:rsidP="00B57BD2">
      <w:pPr>
        <w:pStyle w:val="BodyText"/>
        <w:ind w:left="115"/>
        <w:jc w:val="both"/>
        <w:rPr>
          <w:rFonts w:ascii="Sylfaen" w:hAnsi="Sylfaen"/>
        </w:rPr>
      </w:pPr>
      <w:r>
        <w:rPr>
          <w:rFonts w:ascii="Sylfaen" w:hAnsi="Sylfaen"/>
          <w:u w:val="single"/>
        </w:rPr>
        <w:t>სავარაუდო</w:t>
      </w:r>
      <w:r w:rsidRPr="009E4CF0">
        <w:rPr>
          <w:rFonts w:ascii="Sylfaen" w:hAnsi="Sylfaen"/>
          <w:u w:val="single"/>
        </w:rPr>
        <w:t xml:space="preserve"> </w:t>
      </w:r>
      <w:r w:rsidR="00D12A93" w:rsidRPr="009E4CF0">
        <w:rPr>
          <w:rFonts w:ascii="Sylfaen" w:hAnsi="Sylfaen"/>
          <w:u w:val="single"/>
        </w:rPr>
        <w:t>გვერდითი რეაქციების შეტყობინება</w:t>
      </w:r>
    </w:p>
    <w:p w:rsidR="00C933BB" w:rsidRPr="009E4CF0" w:rsidRDefault="00686647" w:rsidP="007C377F">
      <w:pPr>
        <w:pStyle w:val="BodyText"/>
        <w:spacing w:before="2"/>
        <w:ind w:left="115" w:right="38"/>
        <w:jc w:val="both"/>
        <w:rPr>
          <w:rFonts w:ascii="Sylfaen" w:hAnsi="Sylfaen"/>
        </w:rPr>
      </w:pPr>
      <w:r>
        <w:rPr>
          <w:rFonts w:ascii="Sylfaen" w:hAnsi="Sylfaen"/>
        </w:rPr>
        <w:t>სავარაუდო</w:t>
      </w:r>
      <w:r w:rsidRPr="009E4CF0">
        <w:rPr>
          <w:rFonts w:ascii="Sylfaen" w:hAnsi="Sylfaen"/>
        </w:rPr>
        <w:t xml:space="preserve"> </w:t>
      </w:r>
      <w:r w:rsidR="00D12A93" w:rsidRPr="009E4CF0">
        <w:rPr>
          <w:rFonts w:ascii="Sylfaen" w:hAnsi="Sylfaen"/>
        </w:rPr>
        <w:t>გვერდითი რეაქციების შეტყობინება სამედიცინო პრეპარატის რეგისტრაციის შემდეგ მნიშვნელოვანია. ეს იძლევა სამკურნალო პრეპარატის სარგებ</w:t>
      </w:r>
      <w:r>
        <w:rPr>
          <w:rFonts w:ascii="Sylfaen" w:hAnsi="Sylfaen"/>
        </w:rPr>
        <w:t>ელი</w:t>
      </w:r>
      <w:r w:rsidR="00D12A93" w:rsidRPr="009E4CF0">
        <w:rPr>
          <w:rFonts w:ascii="Sylfaen" w:hAnsi="Sylfaen"/>
        </w:rPr>
        <w:t xml:space="preserve">/რისკების ბალანსის უწყვეტი მონიტორინგის შესაძლებლობას. </w:t>
      </w:r>
      <w:r w:rsidR="00A9068F" w:rsidRPr="009E4CF0">
        <w:rPr>
          <w:rFonts w:ascii="Sylfaen" w:hAnsi="Sylfaen"/>
        </w:rPr>
        <w:t>მედიცინის</w:t>
      </w:r>
      <w:r w:rsidR="00D12A93" w:rsidRPr="009E4CF0">
        <w:rPr>
          <w:rFonts w:ascii="Sylfaen" w:hAnsi="Sylfaen"/>
        </w:rPr>
        <w:t xml:space="preserve"> მუშაკებს </w:t>
      </w:r>
      <w:r w:rsidR="00631025">
        <w:rPr>
          <w:rFonts w:ascii="Sylfaen" w:hAnsi="Sylfaen"/>
        </w:rPr>
        <w:t>მოეთხოვებათ</w:t>
      </w:r>
      <w:r w:rsidR="00631025" w:rsidRPr="009E4CF0">
        <w:rPr>
          <w:rFonts w:ascii="Sylfaen" w:hAnsi="Sylfaen"/>
        </w:rPr>
        <w:t xml:space="preserve"> </w:t>
      </w:r>
      <w:r w:rsidR="00D12A93" w:rsidRPr="009E4CF0">
        <w:rPr>
          <w:rFonts w:ascii="Sylfaen" w:hAnsi="Sylfaen"/>
        </w:rPr>
        <w:t xml:space="preserve">შეატყობინონ ნებისმიერი საეჭვო გვერდითი რეაქციის შესახებ </w:t>
      </w:r>
      <w:r w:rsidR="009E4CF0" w:rsidRPr="009E4CF0">
        <w:rPr>
          <w:rFonts w:ascii="Sylfaen" w:hAnsi="Sylfaen"/>
        </w:rPr>
        <w:t>ეროვნული</w:t>
      </w:r>
      <w:r w:rsidR="00D12A93" w:rsidRPr="009E4CF0">
        <w:rPr>
          <w:rFonts w:ascii="Sylfaen" w:hAnsi="Sylfaen"/>
        </w:rPr>
        <w:t xml:space="preserve"> შეტყობინების სისტემის მეშვეობით ან ვებ გვერდ</w:t>
      </w:r>
      <w:r w:rsidR="00817657" w:rsidRPr="009E4CF0">
        <w:rPr>
          <w:rFonts w:ascii="Sylfaen" w:hAnsi="Sylfaen"/>
        </w:rPr>
        <w:t>იდან</w:t>
      </w:r>
      <w:r w:rsidR="00D12A93" w:rsidRPr="009E4CF0">
        <w:rPr>
          <w:rFonts w:ascii="Sylfaen" w:hAnsi="Sylfaen"/>
        </w:rPr>
        <w:t xml:space="preserve"> </w:t>
      </w:r>
      <w:hyperlink r:id="rId8">
        <w:r w:rsidR="00D12A93" w:rsidRPr="009E4CF0">
          <w:rPr>
            <w:rFonts w:ascii="Sylfaen" w:hAnsi="Sylfaen"/>
            <w:color w:val="0000FF"/>
            <w:u w:val="single" w:color="0000FF"/>
          </w:rPr>
          <w:t>www.covax.azcovid-19.com</w:t>
        </w:r>
      </w:hyperlink>
      <w:r w:rsidR="00D12A93" w:rsidRPr="009E4CF0">
        <w:rPr>
          <w:rFonts w:ascii="Sylfaen" w:hAnsi="Sylfaen"/>
        </w:rPr>
        <w:t>.</w:t>
      </w:r>
    </w:p>
    <w:p w:rsidR="00C933BB" w:rsidRPr="009E4CF0" w:rsidRDefault="00C933BB" w:rsidP="00B57BD2">
      <w:pPr>
        <w:pStyle w:val="BodyText"/>
        <w:spacing w:before="2"/>
        <w:jc w:val="both"/>
        <w:rPr>
          <w:rFonts w:ascii="Sylfaen" w:hAnsi="Sylfaen"/>
          <w:sz w:val="14"/>
        </w:rPr>
      </w:pPr>
    </w:p>
    <w:p w:rsidR="00C933BB" w:rsidRPr="009E4CF0" w:rsidRDefault="00D12A93" w:rsidP="00B57BD2">
      <w:pPr>
        <w:pStyle w:val="Heading1"/>
        <w:numPr>
          <w:ilvl w:val="1"/>
          <w:numId w:val="1"/>
        </w:numPr>
        <w:tabs>
          <w:tab w:val="left" w:pos="682"/>
          <w:tab w:val="left" w:pos="683"/>
        </w:tabs>
        <w:spacing w:before="92"/>
        <w:ind w:hanging="568"/>
        <w:jc w:val="both"/>
        <w:rPr>
          <w:rFonts w:ascii="Sylfaen" w:hAnsi="Sylfaen"/>
        </w:rPr>
      </w:pPr>
      <w:r w:rsidRPr="009E4CF0">
        <w:rPr>
          <w:rFonts w:ascii="Sylfaen" w:hAnsi="Sylfaen"/>
        </w:rPr>
        <w:t>დოზის გადაჭარბება</w:t>
      </w:r>
    </w:p>
    <w:p w:rsidR="00C933BB" w:rsidRPr="009E4CF0" w:rsidRDefault="00C933BB" w:rsidP="00B57BD2">
      <w:pPr>
        <w:pStyle w:val="BodyText"/>
        <w:spacing w:before="9"/>
        <w:jc w:val="both"/>
        <w:rPr>
          <w:rFonts w:ascii="Sylfaen" w:hAnsi="Sylfaen"/>
          <w:b/>
          <w:sz w:val="21"/>
        </w:rPr>
      </w:pPr>
    </w:p>
    <w:p w:rsidR="00C933BB" w:rsidRPr="009E4CF0" w:rsidRDefault="00D12A93" w:rsidP="00B57BD2">
      <w:pPr>
        <w:pStyle w:val="BodyText"/>
        <w:spacing w:before="1" w:line="251" w:lineRule="exact"/>
        <w:ind w:left="115"/>
        <w:jc w:val="both"/>
        <w:rPr>
          <w:rFonts w:ascii="Sylfaen" w:hAnsi="Sylfaen"/>
        </w:rPr>
      </w:pPr>
      <w:r w:rsidRPr="009E4CF0">
        <w:rPr>
          <w:rFonts w:ascii="Sylfaen" w:hAnsi="Sylfaen"/>
        </w:rPr>
        <w:t xml:space="preserve">დოზის გადაჭარბების </w:t>
      </w:r>
      <w:r w:rsidR="00631025" w:rsidRPr="009E4CF0">
        <w:rPr>
          <w:rFonts w:ascii="Sylfaen" w:hAnsi="Sylfaen"/>
        </w:rPr>
        <w:t xml:space="preserve">გამოცდილება </w:t>
      </w:r>
      <w:r w:rsidRPr="009E4CF0">
        <w:rPr>
          <w:rFonts w:ascii="Sylfaen" w:hAnsi="Sylfaen"/>
        </w:rPr>
        <w:t>შეზღუდულია.</w:t>
      </w:r>
      <w:r w:rsidR="004B69F8" w:rsidRPr="009E4CF0">
        <w:rPr>
          <w:rFonts w:ascii="Sylfaen" w:hAnsi="Sylfaen"/>
        </w:rPr>
        <w:t xml:space="preserve"> </w:t>
      </w:r>
    </w:p>
    <w:p w:rsidR="00C933BB" w:rsidRPr="009E4CF0" w:rsidRDefault="00D12A93" w:rsidP="007C377F">
      <w:pPr>
        <w:pStyle w:val="BodyText"/>
        <w:ind w:left="115" w:right="38"/>
        <w:jc w:val="both"/>
        <w:rPr>
          <w:rFonts w:ascii="Sylfaen" w:hAnsi="Sylfaen"/>
        </w:rPr>
      </w:pPr>
      <w:r w:rsidRPr="009E4CF0">
        <w:rPr>
          <w:rFonts w:ascii="Sylfaen" w:hAnsi="Sylfaen"/>
        </w:rPr>
        <w:t>AstraZeneca COVID-19 ვაქცინის დოზის გადაჭარბების მკურნალობის კონკრეტული მეთოდი არ არსებობს. დოზის გადაჭარბების შემთხვევაში პაციენტი უნდა იმყოფებოდეს დაკვირვების ქვეშ და საჭიროების შემთხვევაში, დაენიშნოს სიმპტომური მკურნალობა.</w:t>
      </w:r>
    </w:p>
    <w:p w:rsidR="00C933BB" w:rsidRPr="009E4CF0" w:rsidRDefault="00C933BB" w:rsidP="00B57BD2">
      <w:pPr>
        <w:pStyle w:val="BodyText"/>
        <w:jc w:val="both"/>
        <w:rPr>
          <w:rFonts w:ascii="Sylfaen" w:hAnsi="Sylfaen"/>
          <w:sz w:val="24"/>
        </w:rPr>
      </w:pPr>
    </w:p>
    <w:p w:rsidR="00C933BB" w:rsidRPr="009E4CF0" w:rsidRDefault="00C933BB" w:rsidP="00B57BD2">
      <w:pPr>
        <w:pStyle w:val="BodyText"/>
        <w:spacing w:before="5"/>
        <w:jc w:val="both"/>
        <w:rPr>
          <w:rFonts w:ascii="Sylfaen" w:hAnsi="Sylfaen"/>
          <w:sz w:val="20"/>
        </w:rPr>
      </w:pPr>
    </w:p>
    <w:p w:rsidR="00C933BB" w:rsidRPr="009E4CF0" w:rsidRDefault="00D12A93" w:rsidP="00B57BD2">
      <w:pPr>
        <w:pStyle w:val="Heading1"/>
        <w:numPr>
          <w:ilvl w:val="0"/>
          <w:numId w:val="1"/>
        </w:numPr>
        <w:tabs>
          <w:tab w:val="left" w:pos="682"/>
          <w:tab w:val="left" w:pos="683"/>
        </w:tabs>
        <w:ind w:hanging="568"/>
        <w:jc w:val="both"/>
        <w:rPr>
          <w:rFonts w:ascii="Sylfaen" w:hAnsi="Sylfaen"/>
        </w:rPr>
      </w:pPr>
      <w:r w:rsidRPr="009E4CF0">
        <w:rPr>
          <w:rFonts w:ascii="Sylfaen" w:hAnsi="Sylfaen"/>
        </w:rPr>
        <w:t>ფარმაკოლოგიური თვისებები</w:t>
      </w:r>
    </w:p>
    <w:p w:rsidR="00C933BB" w:rsidRPr="009E4CF0" w:rsidRDefault="00C933BB" w:rsidP="00B57BD2">
      <w:pPr>
        <w:pStyle w:val="BodyText"/>
        <w:spacing w:before="9"/>
        <w:jc w:val="both"/>
        <w:rPr>
          <w:rFonts w:ascii="Sylfaen" w:hAnsi="Sylfaen"/>
          <w:b/>
          <w:sz w:val="21"/>
        </w:rPr>
      </w:pPr>
    </w:p>
    <w:p w:rsidR="00C933BB" w:rsidRPr="009E4CF0" w:rsidRDefault="00D12A93" w:rsidP="00B57BD2">
      <w:pPr>
        <w:pStyle w:val="ListParagraph"/>
        <w:numPr>
          <w:ilvl w:val="1"/>
          <w:numId w:val="1"/>
        </w:numPr>
        <w:tabs>
          <w:tab w:val="left" w:pos="682"/>
          <w:tab w:val="left" w:pos="683"/>
        </w:tabs>
        <w:ind w:hanging="568"/>
        <w:jc w:val="both"/>
        <w:rPr>
          <w:rFonts w:ascii="Sylfaen" w:hAnsi="Sylfaen"/>
          <w:b/>
        </w:rPr>
      </w:pPr>
      <w:r w:rsidRPr="009E4CF0">
        <w:rPr>
          <w:rFonts w:ascii="Sylfaen" w:hAnsi="Sylfaen"/>
          <w:b/>
        </w:rPr>
        <w:t>ფარმაკოდინამიკური თვისებები</w:t>
      </w:r>
    </w:p>
    <w:p w:rsidR="00C933BB" w:rsidRPr="009E4CF0" w:rsidRDefault="00D12A93" w:rsidP="00B57BD2">
      <w:pPr>
        <w:pStyle w:val="BodyText"/>
        <w:spacing w:before="4" w:line="500" w:lineRule="atLeast"/>
        <w:ind w:left="115" w:right="2112"/>
        <w:jc w:val="both"/>
        <w:rPr>
          <w:rFonts w:ascii="Sylfaen" w:hAnsi="Sylfaen"/>
        </w:rPr>
      </w:pPr>
      <w:r w:rsidRPr="009E4CF0">
        <w:rPr>
          <w:rFonts w:ascii="Sylfaen" w:hAnsi="Sylfaen"/>
        </w:rPr>
        <w:t xml:space="preserve">ფარმაკოთერაპიული ჯგუფი: ვაქცინა, სხვა ვირუსული ვაქცინები, ATC კოდი: J07BX03 </w:t>
      </w:r>
      <w:r w:rsidRPr="009E4CF0">
        <w:rPr>
          <w:rFonts w:ascii="Sylfaen" w:hAnsi="Sylfaen"/>
          <w:u w:val="single"/>
        </w:rPr>
        <w:t>მოქმედების მექანიზმი</w:t>
      </w:r>
    </w:p>
    <w:p w:rsidR="00C933BB" w:rsidRPr="009E4CF0" w:rsidRDefault="00D12A93" w:rsidP="007C377F">
      <w:pPr>
        <w:pStyle w:val="BodyText"/>
        <w:spacing w:before="6"/>
        <w:ind w:left="115" w:right="24"/>
        <w:jc w:val="both"/>
        <w:rPr>
          <w:rFonts w:ascii="Sylfaen" w:hAnsi="Sylfaen"/>
        </w:rPr>
      </w:pPr>
      <w:r w:rsidRPr="009E4CF0">
        <w:rPr>
          <w:rFonts w:ascii="Sylfaen" w:hAnsi="Sylfaen"/>
        </w:rPr>
        <w:t xml:space="preserve">AstraZeneca-ს COVID-19 ვაქცინა წარმოადგენს მონოვალენტურ ვაქცინას, რომელიც შედგება </w:t>
      </w:r>
      <w:r w:rsidRPr="009E4CF0">
        <w:rPr>
          <w:rFonts w:ascii="Sylfaen" w:hAnsi="Sylfaen"/>
        </w:rPr>
        <w:lastRenderedPageBreak/>
        <w:t>ერთი რეკომბინანტისგან, შიმპანზეს ადენოვირუსის (ChAdOx1) რეპლიკაციურ-დეფექტური ვექტორისგან, რომელიც ახდენს SARS-CoV-2-ის გლიკოპროტეინის კოდირებას. მ</w:t>
      </w:r>
      <w:r w:rsidR="004B69F8" w:rsidRPr="009E4CF0">
        <w:rPr>
          <w:rFonts w:ascii="Sylfaen" w:hAnsi="Sylfaen"/>
        </w:rPr>
        <w:t>იღების შემდეგ,  SARS-CoV-2-ის S-</w:t>
      </w:r>
      <w:r w:rsidRPr="009E4CF0">
        <w:rPr>
          <w:rFonts w:ascii="Sylfaen" w:hAnsi="Sylfaen"/>
        </w:rPr>
        <w:t xml:space="preserve">გლიკოპროტეინი ექსპრესირებს ადგილობრივად  და ახდენს </w:t>
      </w:r>
      <w:r w:rsidR="00E84FD3">
        <w:rPr>
          <w:rFonts w:ascii="Sylfaen" w:hAnsi="Sylfaen"/>
        </w:rPr>
        <w:t xml:space="preserve">გამანეიტრალებელი </w:t>
      </w:r>
      <w:r w:rsidRPr="009E4CF0">
        <w:rPr>
          <w:rFonts w:ascii="Sylfaen" w:hAnsi="Sylfaen"/>
        </w:rPr>
        <w:t>ანტისხეულების და უჯრედული იმუნური პასუხის სტიმულირებას.</w:t>
      </w:r>
    </w:p>
    <w:p w:rsidR="00C933BB" w:rsidRPr="009E4CF0" w:rsidRDefault="00C933BB" w:rsidP="00B57BD2">
      <w:pPr>
        <w:pStyle w:val="BodyText"/>
        <w:spacing w:before="9"/>
        <w:jc w:val="both"/>
        <w:rPr>
          <w:rFonts w:ascii="Sylfaen" w:hAnsi="Sylfaen"/>
          <w:sz w:val="21"/>
        </w:rPr>
      </w:pPr>
    </w:p>
    <w:p w:rsidR="00C933BB" w:rsidRPr="009E4CF0" w:rsidRDefault="00D12A93" w:rsidP="00B57BD2">
      <w:pPr>
        <w:pStyle w:val="BodyText"/>
        <w:ind w:left="115"/>
        <w:jc w:val="both"/>
        <w:rPr>
          <w:rFonts w:ascii="Sylfaen" w:hAnsi="Sylfaen"/>
        </w:rPr>
      </w:pPr>
      <w:r w:rsidRPr="009E4CF0">
        <w:rPr>
          <w:rFonts w:ascii="Sylfaen" w:hAnsi="Sylfaen"/>
          <w:u w:val="single"/>
        </w:rPr>
        <w:t>კლინიკური ეფექტურობა</w:t>
      </w:r>
    </w:p>
    <w:p w:rsidR="00C933BB" w:rsidRPr="009E4CF0" w:rsidRDefault="00D12A93" w:rsidP="00B57BD2">
      <w:pPr>
        <w:spacing w:before="1"/>
        <w:ind w:left="115"/>
        <w:jc w:val="both"/>
        <w:rPr>
          <w:rFonts w:ascii="Sylfaen" w:hAnsi="Sylfaen"/>
          <w:i/>
        </w:rPr>
      </w:pPr>
      <w:r w:rsidRPr="009E4CF0">
        <w:rPr>
          <w:rFonts w:ascii="Sylfaen" w:hAnsi="Sylfaen"/>
          <w:i/>
        </w:rPr>
        <w:t>COV001, COV002,</w:t>
      </w:r>
      <w:r w:rsidR="009E4CF0">
        <w:rPr>
          <w:rFonts w:ascii="Sylfaen" w:hAnsi="Sylfaen"/>
          <w:i/>
        </w:rPr>
        <w:t xml:space="preserve"> COV003, და</w:t>
      </w:r>
      <w:r w:rsidRPr="009E4CF0">
        <w:rPr>
          <w:rFonts w:ascii="Sylfaen" w:hAnsi="Sylfaen"/>
          <w:i/>
        </w:rPr>
        <w:t xml:space="preserve"> COV005 -ის გაერთიანებული მონაცემების შუალედური ანალიზი</w:t>
      </w:r>
    </w:p>
    <w:p w:rsidR="00C933BB" w:rsidRPr="009E4CF0" w:rsidRDefault="00D12A93" w:rsidP="00817657">
      <w:pPr>
        <w:pStyle w:val="BodyText"/>
        <w:spacing w:before="2"/>
        <w:ind w:left="115" w:right="-18"/>
        <w:jc w:val="both"/>
        <w:rPr>
          <w:rFonts w:ascii="Sylfaen" w:hAnsi="Sylfaen"/>
        </w:rPr>
      </w:pPr>
      <w:r w:rsidRPr="009E4CF0">
        <w:rPr>
          <w:rFonts w:ascii="Sylfaen" w:hAnsi="Sylfaen"/>
        </w:rPr>
        <w:t>AstraZeneca-ს COVID-19 ვაქცინა შეფასდა ოთხი შემთხვევით, ბრმა კონტროლირებული ცდის საფუძველზე:  კვლევის I / II ეტაპი, COV001, ჯანმრთელ 18-55 წლის ასაკის ზრდასრულ პაციენტებში, გაერთიანებულ სამეფოში; კვლევის II/III ეტაპი, COV002, თვრამეტი წლის და უფროსი ასაკის პაციენტებში (მათ შორის, ხანდაზმულებში) გაერთიანებულ სამეფოში; კვლევის III ეტაპი, COV003, 18 წლის და უფროსი ასაკის პაციენტებში (მათ შორის, ხანდაზმულებში) ბრაზილიაში; და კვლევის I/II  ეტაპი, COV005, 18-65 წლის ასაკის</w:t>
      </w:r>
      <w:r w:rsidR="00817657" w:rsidRPr="009E4CF0">
        <w:rPr>
          <w:rFonts w:ascii="Sylfaen" w:hAnsi="Sylfaen"/>
        </w:rPr>
        <w:t xml:space="preserve"> პაციენტებში სამხრეთ აფრიკაში. </w:t>
      </w:r>
    </w:p>
    <w:p w:rsidR="00817657" w:rsidRPr="009E4CF0" w:rsidRDefault="00817657" w:rsidP="00817657">
      <w:pPr>
        <w:pStyle w:val="BodyText"/>
        <w:spacing w:before="2"/>
        <w:ind w:left="115" w:right="-18"/>
        <w:jc w:val="both"/>
        <w:rPr>
          <w:rFonts w:ascii="Sylfaen" w:hAnsi="Sylfaen"/>
        </w:rPr>
      </w:pPr>
    </w:p>
    <w:p w:rsidR="00C933BB" w:rsidRPr="009E4CF0" w:rsidRDefault="00D12A93" w:rsidP="007C377F">
      <w:pPr>
        <w:pStyle w:val="BodyText"/>
        <w:tabs>
          <w:tab w:val="left" w:pos="9072"/>
        </w:tabs>
        <w:spacing w:before="75"/>
        <w:ind w:left="115" w:right="38"/>
        <w:jc w:val="both"/>
        <w:rPr>
          <w:rFonts w:ascii="Sylfaen" w:hAnsi="Sylfaen"/>
        </w:rPr>
      </w:pPr>
      <w:r w:rsidRPr="009E4CF0">
        <w:rPr>
          <w:rFonts w:ascii="Sylfaen" w:hAnsi="Sylfaen"/>
        </w:rPr>
        <w:t>კვლევაში არ მონაწილეობდნენ მძიმე ან/და უკონტროლო გულ-სისხლძარღვთა, კუჭ-ნაწლავის, ღვიძლის, თირკმელების, ენდოკრინული/მეტაბოლური და ნევროლოგიური დაავადებების მქონე პაციენტები, ასევე ისეთი პაციენტები, რომლებსაც გააჩნიათ იმუნოსუპრესიის მძიმე ფორმა. დაგეგმილია, რომ ყველა მონაწილე იქნება დაკვირვების ქვეშ 12  თვემდე COVID-19-ის დაავადებასთან მიმართებაში უსაფრთხოებისა და ეფექტურობის შეფასების მიზნით.</w:t>
      </w:r>
    </w:p>
    <w:p w:rsidR="00C933BB" w:rsidRPr="009E4CF0" w:rsidRDefault="00C933BB" w:rsidP="00B57BD2">
      <w:pPr>
        <w:pStyle w:val="BodyText"/>
        <w:spacing w:before="9"/>
        <w:jc w:val="both"/>
        <w:rPr>
          <w:rFonts w:ascii="Sylfaen" w:hAnsi="Sylfaen"/>
          <w:sz w:val="21"/>
        </w:rPr>
      </w:pPr>
    </w:p>
    <w:p w:rsidR="00C933BB" w:rsidRPr="009E4CF0" w:rsidRDefault="00D12A93" w:rsidP="007C377F">
      <w:pPr>
        <w:pStyle w:val="BodyText"/>
        <w:ind w:left="115" w:right="10"/>
        <w:jc w:val="both"/>
        <w:rPr>
          <w:rFonts w:ascii="Sylfaen" w:hAnsi="Sylfaen"/>
        </w:rPr>
      </w:pPr>
      <w:r w:rsidRPr="009E4CF0">
        <w:rPr>
          <w:rFonts w:ascii="Sylfaen" w:hAnsi="Sylfaen"/>
        </w:rPr>
        <w:t>ეფექტურობის შუალედური ანალიზის წინასწარ განსაზღვრული კრიტერიუმების საფუძველზე, COV002 და COV003 გადააჭარბეს ზღვრულ მონაცემებს თითოეულ კვლევაში COVID-19-ის დადასტურებული ხუთი ან მეტი ვირუსოლოგიური შემთხვევით და შესაბამისად, ხელი შეუწყვეს ანალიზის ეფექტურობას; ხოლო COV001 და COV005 გამოირიცხა.</w:t>
      </w:r>
    </w:p>
    <w:p w:rsidR="00C933BB" w:rsidRPr="009E4CF0" w:rsidRDefault="00C933BB" w:rsidP="00B57BD2">
      <w:pPr>
        <w:pStyle w:val="BodyText"/>
        <w:spacing w:before="1"/>
        <w:jc w:val="both"/>
        <w:rPr>
          <w:rFonts w:ascii="Sylfaen" w:hAnsi="Sylfaen"/>
        </w:rPr>
      </w:pPr>
    </w:p>
    <w:p w:rsidR="00C933BB" w:rsidRPr="009E4CF0" w:rsidRDefault="00D12A93" w:rsidP="00A62A91">
      <w:pPr>
        <w:pStyle w:val="BodyText"/>
        <w:ind w:left="115" w:right="24"/>
        <w:jc w:val="both"/>
        <w:rPr>
          <w:rFonts w:ascii="Sylfaen" w:hAnsi="Sylfaen"/>
        </w:rPr>
      </w:pPr>
      <w:r w:rsidRPr="009E4CF0">
        <w:rPr>
          <w:rFonts w:ascii="Sylfaen" w:hAnsi="Sylfaen"/>
        </w:rPr>
        <w:t>ეფექტურობის შესახებ გაერთიანებულ ანალიზში (COV002 და COV003), 18 წლის და უფროსი ასაკის მონაწილეებმა მიიღეს AstraZeneca-ს COVID-19 ვაქცინის 2 დოზა (N=5,807) ან კონტროლი (მენინგოკოკური ვაქცინა ან ფიზიოლოგიური ხსნარი (N=5,829). AstraZeneca-ს COVID-19 ვაქცინისთვის შემთხვევითობის პრინციპით შერჩეულმა მონაწილეებმა მიიღეს ორი სტანდარტული დოზა [SD] (5 × 10</w:t>
      </w:r>
      <w:r w:rsidRPr="009E4CF0">
        <w:rPr>
          <w:rFonts w:ascii="Sylfaen" w:hAnsi="Sylfaen"/>
          <w:vertAlign w:val="superscript"/>
        </w:rPr>
        <w:t>10</w:t>
      </w:r>
      <w:r w:rsidRPr="009E4CF0">
        <w:rPr>
          <w:rFonts w:ascii="Sylfaen" w:hAnsi="Sylfaen"/>
        </w:rPr>
        <w:t xml:space="preserve"> ვირუსული ნაწილაკები თითოეულ დოზაზე), ან ერთი დაბალი დოზა  [LD] (2.2 × 10</w:t>
      </w:r>
      <w:r w:rsidRPr="009E4CF0">
        <w:rPr>
          <w:rFonts w:ascii="Sylfaen" w:hAnsi="Sylfaen"/>
          <w:vertAlign w:val="superscript"/>
        </w:rPr>
        <w:t>10</w:t>
      </w:r>
      <w:r w:rsidRPr="009E4CF0">
        <w:rPr>
          <w:rFonts w:ascii="Sylfaen" w:hAnsi="Sylfaen"/>
        </w:rPr>
        <w:t xml:space="preserve"> ვირუსული ნაწილაკები) რომლის შემდეგაც მიიღეს ერთი სტანდარტული დოზა</w:t>
      </w:r>
      <w:r w:rsidR="00A62A91">
        <w:rPr>
          <w:rFonts w:ascii="Sylfaen" w:hAnsi="Sylfaen"/>
        </w:rPr>
        <w:t xml:space="preserve"> </w:t>
      </w:r>
      <w:r w:rsidRPr="009E4CF0">
        <w:rPr>
          <w:rFonts w:ascii="Sylfaen" w:hAnsi="Sylfaen"/>
        </w:rPr>
        <w:t>(5 × 10</w:t>
      </w:r>
      <w:r w:rsidRPr="009E4CF0">
        <w:rPr>
          <w:rFonts w:ascii="Sylfaen" w:hAnsi="Sylfaen"/>
          <w:vertAlign w:val="superscript"/>
        </w:rPr>
        <w:t>10</w:t>
      </w:r>
      <w:r w:rsidRPr="009E4CF0">
        <w:rPr>
          <w:rFonts w:ascii="Sylfaen" w:hAnsi="Sylfaen"/>
        </w:rPr>
        <w:t xml:space="preserve"> ვირუსული ნაწილაკები), რომლის შეყვანაც მოხდა კუნთშიდა ინექციით.</w:t>
      </w:r>
    </w:p>
    <w:p w:rsidR="00C933BB" w:rsidRPr="009E4CF0" w:rsidRDefault="00C933BB" w:rsidP="00B57BD2">
      <w:pPr>
        <w:pStyle w:val="BodyText"/>
        <w:spacing w:before="3"/>
        <w:jc w:val="both"/>
        <w:rPr>
          <w:rFonts w:ascii="Sylfaen" w:hAnsi="Sylfaen"/>
        </w:rPr>
      </w:pPr>
    </w:p>
    <w:p w:rsidR="00C933BB" w:rsidRPr="009E4CF0" w:rsidRDefault="00D12A93" w:rsidP="007C377F">
      <w:pPr>
        <w:pStyle w:val="BodyText"/>
        <w:tabs>
          <w:tab w:val="left" w:pos="9214"/>
        </w:tabs>
        <w:ind w:left="115" w:right="10"/>
        <w:jc w:val="both"/>
        <w:rPr>
          <w:rFonts w:ascii="Sylfaen" w:hAnsi="Sylfaen"/>
        </w:rPr>
      </w:pPr>
      <w:r w:rsidRPr="009E4CF0">
        <w:rPr>
          <w:rFonts w:ascii="Sylfaen" w:hAnsi="Sylfaen"/>
        </w:rPr>
        <w:t>ლოგიკური შეზღუდვების გამო, პირველ და მეორე დოზებს შორის ინტერვალმა 4-26 კვირა შეადგინა. ინტერვალი დოზებს შორის უფრო ხანგრძლივი იყო LDSD (დაბალი დოზა-სტანდარტული დოზა) ჯგუფში SDSD (სტანდარტული დოზა-სტანდარტული დოზა) ჯგუფთან შედარებით (LDSD ჯგუფის მონაწილეთა 71%-მა მიიღო მეორე დოზა 12 კვირაში ან უფრო ხანგრძლივ პერიოდში, ხოლო SDSD ჯგუფის მონაწილეთა შემთხვევაში, მხოლოდ 25%-მა).</w:t>
      </w:r>
    </w:p>
    <w:p w:rsidR="00C933BB" w:rsidRPr="009E4CF0" w:rsidRDefault="00C933BB" w:rsidP="00B57BD2">
      <w:pPr>
        <w:pStyle w:val="BodyText"/>
        <w:spacing w:before="7"/>
        <w:jc w:val="both"/>
        <w:rPr>
          <w:rFonts w:ascii="Sylfaen" w:hAnsi="Sylfaen"/>
          <w:sz w:val="21"/>
        </w:rPr>
      </w:pPr>
    </w:p>
    <w:p w:rsidR="00C933BB" w:rsidRPr="009E4CF0" w:rsidRDefault="00D12A93" w:rsidP="007C377F">
      <w:pPr>
        <w:pStyle w:val="BodyText"/>
        <w:ind w:left="115" w:right="10"/>
        <w:jc w:val="both"/>
        <w:rPr>
          <w:rFonts w:ascii="Sylfaen" w:hAnsi="Sylfaen"/>
        </w:rPr>
      </w:pPr>
      <w:r w:rsidRPr="009E4CF0">
        <w:rPr>
          <w:rFonts w:ascii="Sylfaen" w:hAnsi="Sylfaen"/>
        </w:rPr>
        <w:t xml:space="preserve">საწყისი დემოგრაფიული მონაცემები კარგად იყო დაბალანსებული AstraZeneca-ს  COVID-19 ვაქცინისა და საკონტროლო ჯგუფებში. გაერთიანებულ ანალიზებში, იმ მონაწილეთა შორის, რომლებმაც AstraZeneca-ს COVID-19 ვაქცინა მიიღეს, მონაწილეთა 94.1%-ის ასაკი 18-64 წელს შეადგენდა (ხოლო 5,9% 65 წლის ან უფროსი ასაკის); სუბიექტების 60.7% იყო ქალი; 82.8% იყო თეთრკანიანი; 4.6% იყო აზიელი, ხოლო 4.4% - შავკანიანი. მონაწილეთა </w:t>
      </w:r>
    </w:p>
    <w:p w:rsidR="00C933BB" w:rsidRPr="009E4CF0" w:rsidRDefault="00D12A93" w:rsidP="007C377F">
      <w:pPr>
        <w:pStyle w:val="BodyText"/>
        <w:spacing w:before="1"/>
        <w:ind w:left="115" w:right="24"/>
        <w:jc w:val="both"/>
        <w:rPr>
          <w:rFonts w:ascii="Sylfaen" w:hAnsi="Sylfaen"/>
        </w:rPr>
      </w:pPr>
      <w:r w:rsidRPr="009E4CF0">
        <w:rPr>
          <w:rFonts w:ascii="Sylfaen" w:hAnsi="Sylfaen"/>
        </w:rPr>
        <w:lastRenderedPageBreak/>
        <w:t>მთლიანი რაოდენობიდან 2070-ს (35.6%) აღენიშნებოდა წარსულში შეძენილი სულ მცირე, ერთი თანმდევი დაავადება (როგორიცაა, BMI (სხეულის მასის ინდექსი) ≥30 kg/m</w:t>
      </w:r>
      <w:r w:rsidRPr="009E4CF0">
        <w:rPr>
          <w:rFonts w:ascii="Sylfaen" w:hAnsi="Sylfaen"/>
          <w:vertAlign w:val="superscript"/>
        </w:rPr>
        <w:t>2</w:t>
      </w:r>
      <w:r w:rsidRPr="009E4CF0">
        <w:rPr>
          <w:rFonts w:ascii="Sylfaen" w:hAnsi="Sylfaen"/>
        </w:rPr>
        <w:t>, გულსისხლძარღვთა პათოლოგია, რესპირატორული დაავედებები ან დიაბეტი). შუალედური ანალიზის ჩატარების პერიოდში, დაკვირვების საშუალო დრო პირველი დოზის მიღების შემდეგ შეადგენდა 4.7 თვეს, ხოლო მეორე დოზის მიღების შემდეგ - 2.2 თვეს.</w:t>
      </w:r>
    </w:p>
    <w:p w:rsidR="00C933BB" w:rsidRPr="009E4CF0" w:rsidRDefault="00C933BB" w:rsidP="00B57BD2">
      <w:pPr>
        <w:pStyle w:val="BodyText"/>
        <w:spacing w:before="1"/>
        <w:jc w:val="both"/>
        <w:rPr>
          <w:rFonts w:ascii="Sylfaen" w:hAnsi="Sylfaen"/>
        </w:rPr>
      </w:pPr>
    </w:p>
    <w:p w:rsidR="00C933BB" w:rsidRPr="009E4CF0" w:rsidRDefault="00D12A93" w:rsidP="007C377F">
      <w:pPr>
        <w:pStyle w:val="BodyText"/>
        <w:ind w:left="115" w:right="38"/>
        <w:jc w:val="both"/>
        <w:rPr>
          <w:rFonts w:ascii="Sylfaen" w:hAnsi="Sylfaen"/>
        </w:rPr>
      </w:pPr>
      <w:r w:rsidRPr="009E4CF0">
        <w:rPr>
          <w:rFonts w:ascii="Sylfaen" w:hAnsi="Sylfaen"/>
        </w:rPr>
        <w:t xml:space="preserve"> COVID-19-ის შემთხვევების საბოლოო განსაზღვრა მოხდა საექსპერტო კომისიის მიერ, რომელმაც ასევე მიაკუთვნა დაავადების სიმძიმე ჯანმრთელობის მსოფლიო ორგანიზაციის კლინიკური მიმდინარეობის </w:t>
      </w:r>
      <w:r w:rsidR="00A62A91">
        <w:rPr>
          <w:rFonts w:ascii="Sylfaen" w:hAnsi="Sylfaen"/>
        </w:rPr>
        <w:t>შ</w:t>
      </w:r>
      <w:r w:rsidRPr="009E4CF0">
        <w:rPr>
          <w:rFonts w:ascii="Sylfaen" w:hAnsi="Sylfaen"/>
        </w:rPr>
        <w:t>კალის მიხედვით. სულ 131 მონაწილეში დაფიქსირდა SARS-CoV-2-ის ვირუსოლოგიურად დადასტურებული COVID-19-ის შემთხვევა, რომელსაც მეორე დოზის მიღებიდან მე-15 დღეს ან შემდგომ პერიოდში ჰქონდა ადგილი COVID-19-ის არანაკლებ ერთი სიმპტომით (ობიექტური ცხელება (რომელიც განისაზღვრება 37.8°C ან უფრო მაღალი ტემპერატურით), ხველა, სუნთქვის გაძნელება, ანოსმია ან აგევზია) და რომლებსაც არ აღენიშნებოდათ წარსულში გადატანილი SARS-CoV-2-ის ინფექცია. AstraZeneca-ს COVID-19 ვაქცინამ მნიშვნელოვნად შეამცირა COVID-19-ით დაავადებს შემთხვევები კონტროლთან შედარებით (იხ. ცხრილი 2).</w:t>
      </w:r>
    </w:p>
    <w:p w:rsidR="00C933BB" w:rsidRPr="009E4CF0" w:rsidRDefault="00C933BB" w:rsidP="00B57BD2">
      <w:pPr>
        <w:pStyle w:val="BodyText"/>
        <w:spacing w:before="5"/>
        <w:jc w:val="both"/>
        <w:rPr>
          <w:rFonts w:ascii="Sylfaen" w:hAnsi="Sylfaen"/>
        </w:rPr>
      </w:pPr>
    </w:p>
    <w:p w:rsidR="00C933BB" w:rsidRPr="009E4CF0" w:rsidRDefault="00D12A93" w:rsidP="00B57BD2">
      <w:pPr>
        <w:pStyle w:val="Heading1"/>
        <w:tabs>
          <w:tab w:val="left" w:pos="1555"/>
        </w:tabs>
        <w:ind w:left="115" w:firstLine="0"/>
        <w:jc w:val="both"/>
        <w:rPr>
          <w:rFonts w:ascii="Sylfaen" w:hAnsi="Sylfaen"/>
        </w:rPr>
      </w:pPr>
      <w:r w:rsidRPr="009E4CF0">
        <w:rPr>
          <w:rFonts w:ascii="Sylfaen" w:hAnsi="Sylfaen"/>
        </w:rPr>
        <w:t xml:space="preserve">ცხრილი 2 </w:t>
      </w:r>
      <w:r w:rsidRPr="009E4CF0">
        <w:rPr>
          <w:rFonts w:ascii="Sylfaen" w:hAnsi="Sylfaen"/>
        </w:rPr>
        <w:tab/>
        <w:t>AstraZeneca-ს COVID-19 ვაქცინის ეფექტურობა COVID-19-ის მიმართ</w:t>
      </w:r>
      <w:r w:rsidRPr="009E4CF0">
        <w:rPr>
          <w:rFonts w:ascii="Sylfaen" w:hAnsi="Sylfaen"/>
          <w:vertAlign w:val="superscript"/>
        </w:rPr>
        <w:t>ა</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3"/>
        <w:gridCol w:w="1133"/>
        <w:gridCol w:w="1551"/>
        <w:gridCol w:w="1133"/>
        <w:gridCol w:w="1555"/>
        <w:gridCol w:w="1718"/>
      </w:tblGrid>
      <w:tr w:rsidR="00C933BB" w:rsidRPr="009E4CF0">
        <w:trPr>
          <w:trHeight w:val="503"/>
        </w:trPr>
        <w:tc>
          <w:tcPr>
            <w:tcW w:w="1973" w:type="dxa"/>
            <w:vMerge w:val="restart"/>
          </w:tcPr>
          <w:p w:rsidR="00C933BB" w:rsidRPr="009E4CF0" w:rsidRDefault="00C933BB" w:rsidP="00B57BD2">
            <w:pPr>
              <w:pStyle w:val="TableParagraph"/>
              <w:ind w:left="0"/>
              <w:jc w:val="both"/>
              <w:rPr>
                <w:rFonts w:ascii="Sylfaen" w:hAnsi="Sylfaen"/>
                <w:b/>
                <w:sz w:val="24"/>
              </w:rPr>
            </w:pPr>
          </w:p>
          <w:p w:rsidR="00C933BB" w:rsidRPr="009E4CF0" w:rsidRDefault="00C933BB" w:rsidP="00B57BD2">
            <w:pPr>
              <w:pStyle w:val="TableParagraph"/>
              <w:spacing w:before="3"/>
              <w:ind w:left="0"/>
              <w:jc w:val="both"/>
              <w:rPr>
                <w:rFonts w:ascii="Sylfaen" w:hAnsi="Sylfaen"/>
                <w:b/>
                <w:sz w:val="20"/>
              </w:rPr>
            </w:pPr>
          </w:p>
          <w:p w:rsidR="00C933BB" w:rsidRPr="009E4CF0" w:rsidRDefault="00D12A93" w:rsidP="00B57BD2">
            <w:pPr>
              <w:pStyle w:val="TableParagraph"/>
              <w:ind w:left="110"/>
              <w:jc w:val="both"/>
              <w:rPr>
                <w:rFonts w:ascii="Sylfaen" w:hAnsi="Sylfaen"/>
                <w:b/>
              </w:rPr>
            </w:pPr>
            <w:r w:rsidRPr="009E4CF0">
              <w:rPr>
                <w:rFonts w:ascii="Sylfaen" w:hAnsi="Sylfaen"/>
                <w:b/>
              </w:rPr>
              <w:t>პოპულაცია</w:t>
            </w:r>
          </w:p>
        </w:tc>
        <w:tc>
          <w:tcPr>
            <w:tcW w:w="2684" w:type="dxa"/>
            <w:gridSpan w:val="2"/>
          </w:tcPr>
          <w:p w:rsidR="00C933BB" w:rsidRPr="009E4CF0" w:rsidRDefault="00D12A93" w:rsidP="00B57BD2">
            <w:pPr>
              <w:pStyle w:val="TableParagraph"/>
              <w:spacing w:before="6" w:line="250" w:lineRule="exact"/>
              <w:ind w:left="743" w:right="396" w:hanging="312"/>
              <w:jc w:val="both"/>
              <w:rPr>
                <w:rFonts w:ascii="Sylfaen" w:hAnsi="Sylfaen"/>
                <w:b/>
              </w:rPr>
            </w:pPr>
            <w:r w:rsidRPr="009E4CF0">
              <w:rPr>
                <w:rFonts w:ascii="Sylfaen" w:hAnsi="Sylfaen"/>
                <w:b/>
              </w:rPr>
              <w:t>AstraZeneca-ს COVID-19 ვაქცინა</w:t>
            </w:r>
          </w:p>
        </w:tc>
        <w:tc>
          <w:tcPr>
            <w:tcW w:w="2688" w:type="dxa"/>
            <w:gridSpan w:val="2"/>
          </w:tcPr>
          <w:p w:rsidR="00C933BB" w:rsidRPr="009E4CF0" w:rsidRDefault="00D12A93" w:rsidP="00B57BD2">
            <w:pPr>
              <w:pStyle w:val="TableParagraph"/>
              <w:spacing w:before="125"/>
              <w:ind w:left="952" w:right="951"/>
              <w:jc w:val="both"/>
              <w:rPr>
                <w:rFonts w:ascii="Sylfaen" w:hAnsi="Sylfaen"/>
                <w:b/>
              </w:rPr>
            </w:pPr>
            <w:r w:rsidRPr="009E4CF0">
              <w:rPr>
                <w:rFonts w:ascii="Sylfaen" w:hAnsi="Sylfaen"/>
                <w:b/>
              </w:rPr>
              <w:t>კონტროლი</w:t>
            </w:r>
          </w:p>
        </w:tc>
        <w:tc>
          <w:tcPr>
            <w:tcW w:w="1718" w:type="dxa"/>
            <w:vMerge w:val="restart"/>
          </w:tcPr>
          <w:p w:rsidR="00C933BB" w:rsidRPr="009E4CF0" w:rsidRDefault="00C933BB" w:rsidP="00B57BD2">
            <w:pPr>
              <w:pStyle w:val="TableParagraph"/>
              <w:spacing w:before="2"/>
              <w:ind w:left="0"/>
              <w:jc w:val="both"/>
              <w:rPr>
                <w:rFonts w:ascii="Sylfaen" w:hAnsi="Sylfaen"/>
                <w:b/>
              </w:rPr>
            </w:pPr>
          </w:p>
          <w:p w:rsidR="00C933BB" w:rsidRPr="009E4CF0" w:rsidRDefault="00D12A93" w:rsidP="00B57BD2">
            <w:pPr>
              <w:pStyle w:val="TableParagraph"/>
              <w:ind w:left="277" w:right="259" w:hanging="9"/>
              <w:jc w:val="both"/>
              <w:rPr>
                <w:rFonts w:ascii="Sylfaen" w:hAnsi="Sylfaen"/>
                <w:b/>
              </w:rPr>
            </w:pPr>
            <w:r w:rsidRPr="009E4CF0">
              <w:rPr>
                <w:rFonts w:ascii="Sylfaen" w:hAnsi="Sylfaen"/>
                <w:b/>
              </w:rPr>
              <w:t>ვაქცინის ეფექტურობა (95.84% CI)</w:t>
            </w:r>
          </w:p>
        </w:tc>
      </w:tr>
      <w:tr w:rsidR="00C933BB" w:rsidRPr="009E4CF0">
        <w:trPr>
          <w:trHeight w:val="760"/>
        </w:trPr>
        <w:tc>
          <w:tcPr>
            <w:tcW w:w="1973" w:type="dxa"/>
            <w:vMerge/>
            <w:tcBorders>
              <w:top w:val="nil"/>
            </w:tcBorders>
          </w:tcPr>
          <w:p w:rsidR="00C933BB" w:rsidRPr="009E4CF0" w:rsidRDefault="00C933BB" w:rsidP="00B57BD2">
            <w:pPr>
              <w:jc w:val="both"/>
              <w:rPr>
                <w:rFonts w:ascii="Sylfaen" w:hAnsi="Sylfaen"/>
                <w:sz w:val="2"/>
                <w:szCs w:val="2"/>
              </w:rPr>
            </w:pPr>
          </w:p>
        </w:tc>
        <w:tc>
          <w:tcPr>
            <w:tcW w:w="1133" w:type="dxa"/>
          </w:tcPr>
          <w:p w:rsidR="00C933BB" w:rsidRPr="009E4CF0" w:rsidRDefault="00C933BB" w:rsidP="00B57BD2">
            <w:pPr>
              <w:pStyle w:val="TableParagraph"/>
              <w:spacing w:before="11"/>
              <w:ind w:left="0"/>
              <w:jc w:val="both"/>
              <w:rPr>
                <w:rFonts w:ascii="Sylfaen" w:hAnsi="Sylfaen"/>
                <w:b/>
                <w:sz w:val="21"/>
              </w:rPr>
            </w:pPr>
          </w:p>
          <w:p w:rsidR="00C933BB" w:rsidRPr="009E4CF0" w:rsidRDefault="00D12A93" w:rsidP="00B57BD2">
            <w:pPr>
              <w:pStyle w:val="TableParagraph"/>
              <w:ind w:left="5"/>
              <w:jc w:val="both"/>
              <w:rPr>
                <w:rFonts w:ascii="Sylfaen" w:hAnsi="Sylfaen"/>
                <w:b/>
              </w:rPr>
            </w:pPr>
            <w:r w:rsidRPr="009E4CF0">
              <w:rPr>
                <w:rFonts w:ascii="Sylfaen" w:hAnsi="Sylfaen"/>
                <w:b/>
              </w:rPr>
              <w:t>N</w:t>
            </w:r>
          </w:p>
        </w:tc>
        <w:tc>
          <w:tcPr>
            <w:tcW w:w="1551" w:type="dxa"/>
          </w:tcPr>
          <w:p w:rsidR="00C933BB" w:rsidRPr="009E4CF0" w:rsidRDefault="00D12A93" w:rsidP="00B57BD2">
            <w:pPr>
              <w:pStyle w:val="TableParagraph"/>
              <w:ind w:left="263" w:right="248" w:firstLine="4"/>
              <w:jc w:val="both"/>
              <w:rPr>
                <w:rFonts w:ascii="Sylfaen" w:hAnsi="Sylfaen"/>
                <w:b/>
              </w:rPr>
            </w:pPr>
            <w:r w:rsidRPr="009E4CF0">
              <w:rPr>
                <w:rFonts w:ascii="Sylfaen" w:hAnsi="Sylfaen"/>
                <w:b/>
              </w:rPr>
              <w:t>COVID-19-ის ნომერი</w:t>
            </w:r>
          </w:p>
          <w:p w:rsidR="00C933BB" w:rsidRPr="009E4CF0" w:rsidRDefault="00D12A93" w:rsidP="004B69F8">
            <w:pPr>
              <w:pStyle w:val="TableParagraph"/>
              <w:spacing w:before="1" w:line="233" w:lineRule="exact"/>
              <w:ind w:left="172"/>
              <w:jc w:val="both"/>
              <w:rPr>
                <w:rFonts w:ascii="Sylfaen" w:hAnsi="Sylfaen"/>
                <w:b/>
              </w:rPr>
            </w:pPr>
            <w:r w:rsidRPr="009E4CF0">
              <w:rPr>
                <w:rFonts w:ascii="Sylfaen" w:hAnsi="Sylfaen"/>
                <w:b/>
              </w:rPr>
              <w:t xml:space="preserve">შემთხვევები </w:t>
            </w:r>
            <w:r w:rsidR="004B69F8" w:rsidRPr="009E4CF0">
              <w:rPr>
                <w:rFonts w:ascii="Sylfaen" w:hAnsi="Sylfaen"/>
                <w:b/>
                <w:vertAlign w:val="superscript"/>
              </w:rPr>
              <w:t>ბ</w:t>
            </w:r>
            <w:r w:rsidRPr="009E4CF0">
              <w:rPr>
                <w:rFonts w:ascii="Sylfaen" w:hAnsi="Sylfaen"/>
                <w:b/>
              </w:rPr>
              <w:t>, n (%)</w:t>
            </w:r>
          </w:p>
        </w:tc>
        <w:tc>
          <w:tcPr>
            <w:tcW w:w="1133" w:type="dxa"/>
          </w:tcPr>
          <w:p w:rsidR="00C933BB" w:rsidRPr="009E4CF0" w:rsidRDefault="00C933BB" w:rsidP="00B57BD2">
            <w:pPr>
              <w:pStyle w:val="TableParagraph"/>
              <w:spacing w:before="11"/>
              <w:ind w:left="0"/>
              <w:jc w:val="both"/>
              <w:rPr>
                <w:rFonts w:ascii="Sylfaen" w:hAnsi="Sylfaen"/>
                <w:b/>
                <w:sz w:val="21"/>
              </w:rPr>
            </w:pPr>
          </w:p>
          <w:p w:rsidR="00C933BB" w:rsidRPr="009E4CF0" w:rsidRDefault="00D12A93" w:rsidP="00B57BD2">
            <w:pPr>
              <w:pStyle w:val="TableParagraph"/>
              <w:ind w:left="3"/>
              <w:jc w:val="both"/>
              <w:rPr>
                <w:rFonts w:ascii="Sylfaen" w:hAnsi="Sylfaen"/>
                <w:b/>
              </w:rPr>
            </w:pPr>
            <w:r w:rsidRPr="009E4CF0">
              <w:rPr>
                <w:rFonts w:ascii="Sylfaen" w:hAnsi="Sylfaen"/>
                <w:b/>
              </w:rPr>
              <w:t>N</w:t>
            </w:r>
          </w:p>
        </w:tc>
        <w:tc>
          <w:tcPr>
            <w:tcW w:w="1555" w:type="dxa"/>
          </w:tcPr>
          <w:p w:rsidR="00C933BB" w:rsidRPr="009E4CF0" w:rsidRDefault="00D12A93" w:rsidP="00B57BD2">
            <w:pPr>
              <w:pStyle w:val="TableParagraph"/>
              <w:ind w:left="262" w:right="253" w:firstLine="4"/>
              <w:jc w:val="both"/>
              <w:rPr>
                <w:rFonts w:ascii="Sylfaen" w:hAnsi="Sylfaen"/>
                <w:b/>
              </w:rPr>
            </w:pPr>
            <w:r w:rsidRPr="009E4CF0">
              <w:rPr>
                <w:rFonts w:ascii="Sylfaen" w:hAnsi="Sylfaen"/>
                <w:b/>
              </w:rPr>
              <w:t>COVID-19-ის ნომერი</w:t>
            </w:r>
          </w:p>
          <w:p w:rsidR="00C933BB" w:rsidRPr="009E4CF0" w:rsidRDefault="00D12A93" w:rsidP="004B69F8">
            <w:pPr>
              <w:pStyle w:val="TableParagraph"/>
              <w:spacing w:before="1" w:line="233" w:lineRule="exact"/>
              <w:ind w:left="171"/>
              <w:jc w:val="both"/>
              <w:rPr>
                <w:rFonts w:ascii="Sylfaen" w:hAnsi="Sylfaen"/>
                <w:b/>
              </w:rPr>
            </w:pPr>
            <w:r w:rsidRPr="009E4CF0">
              <w:rPr>
                <w:rFonts w:ascii="Sylfaen" w:hAnsi="Sylfaen"/>
                <w:b/>
              </w:rPr>
              <w:t xml:space="preserve">შემთხვევები </w:t>
            </w:r>
            <w:r w:rsidR="004B69F8" w:rsidRPr="009E4CF0">
              <w:rPr>
                <w:rFonts w:ascii="Sylfaen" w:hAnsi="Sylfaen"/>
                <w:b/>
                <w:vertAlign w:val="superscript"/>
              </w:rPr>
              <w:t>ბ</w:t>
            </w:r>
            <w:r w:rsidRPr="009E4CF0">
              <w:rPr>
                <w:rFonts w:ascii="Sylfaen" w:hAnsi="Sylfaen"/>
                <w:b/>
              </w:rPr>
              <w:t>, n (%)</w:t>
            </w:r>
          </w:p>
        </w:tc>
        <w:tc>
          <w:tcPr>
            <w:tcW w:w="1718" w:type="dxa"/>
            <w:vMerge/>
            <w:tcBorders>
              <w:top w:val="nil"/>
            </w:tcBorders>
          </w:tcPr>
          <w:p w:rsidR="00C933BB" w:rsidRPr="009E4CF0" w:rsidRDefault="00C933BB" w:rsidP="00B57BD2">
            <w:pPr>
              <w:jc w:val="both"/>
              <w:rPr>
                <w:rFonts w:ascii="Sylfaen" w:hAnsi="Sylfaen"/>
                <w:sz w:val="2"/>
                <w:szCs w:val="2"/>
              </w:rPr>
            </w:pPr>
          </w:p>
        </w:tc>
      </w:tr>
      <w:tr w:rsidR="00C933BB" w:rsidRPr="009E4CF0">
        <w:trPr>
          <w:trHeight w:val="292"/>
        </w:trPr>
        <w:tc>
          <w:tcPr>
            <w:tcW w:w="9063" w:type="dxa"/>
            <w:gridSpan w:val="6"/>
          </w:tcPr>
          <w:p w:rsidR="00C933BB" w:rsidRPr="009E4CF0" w:rsidRDefault="00D12A93" w:rsidP="00B57BD2">
            <w:pPr>
              <w:pStyle w:val="TableParagraph"/>
              <w:spacing w:before="1"/>
              <w:ind w:left="110"/>
              <w:jc w:val="both"/>
              <w:rPr>
                <w:rFonts w:ascii="Sylfaen" w:hAnsi="Sylfaen"/>
                <w:b/>
                <w:i/>
              </w:rPr>
            </w:pPr>
            <w:r w:rsidRPr="009E4CF0">
              <w:rPr>
                <w:rFonts w:ascii="Sylfaen" w:hAnsi="Sylfaen"/>
                <w:b/>
                <w:i/>
              </w:rPr>
              <w:t>პირველადი ანალიზის პოპულაცია</w:t>
            </w:r>
          </w:p>
        </w:tc>
      </w:tr>
      <w:tr w:rsidR="00C933BB" w:rsidRPr="009E4CF0">
        <w:trPr>
          <w:trHeight w:val="503"/>
        </w:trPr>
        <w:tc>
          <w:tcPr>
            <w:tcW w:w="1973" w:type="dxa"/>
          </w:tcPr>
          <w:p w:rsidR="00C933BB" w:rsidRPr="009E4CF0" w:rsidRDefault="00D12A93" w:rsidP="00B57BD2">
            <w:pPr>
              <w:pStyle w:val="TableParagraph"/>
              <w:spacing w:line="244" w:lineRule="exact"/>
              <w:ind w:left="110"/>
              <w:jc w:val="both"/>
              <w:rPr>
                <w:rFonts w:ascii="Sylfaen" w:hAnsi="Sylfaen"/>
              </w:rPr>
            </w:pPr>
            <w:r w:rsidRPr="009E4CF0">
              <w:rPr>
                <w:rFonts w:ascii="Sylfaen" w:hAnsi="Sylfaen"/>
              </w:rPr>
              <w:t>სულ</w:t>
            </w:r>
          </w:p>
          <w:p w:rsidR="00C933BB" w:rsidRPr="009E4CF0" w:rsidRDefault="00D12A93" w:rsidP="00B57BD2">
            <w:pPr>
              <w:pStyle w:val="TableParagraph"/>
              <w:spacing w:before="1" w:line="238" w:lineRule="exact"/>
              <w:ind w:left="110"/>
              <w:jc w:val="both"/>
              <w:rPr>
                <w:rFonts w:ascii="Sylfaen" w:hAnsi="Sylfaen"/>
              </w:rPr>
            </w:pPr>
            <w:r w:rsidRPr="009E4CF0">
              <w:rPr>
                <w:rFonts w:ascii="Sylfaen" w:hAnsi="Sylfaen"/>
              </w:rPr>
              <w:t>(SDSD + LDSD)</w:t>
            </w:r>
          </w:p>
        </w:tc>
        <w:tc>
          <w:tcPr>
            <w:tcW w:w="1133" w:type="dxa"/>
          </w:tcPr>
          <w:p w:rsidR="00C933BB" w:rsidRPr="009E4CF0" w:rsidRDefault="00D12A93" w:rsidP="00B57BD2">
            <w:pPr>
              <w:pStyle w:val="TableParagraph"/>
              <w:spacing w:before="121"/>
              <w:ind w:left="325" w:right="316"/>
              <w:jc w:val="both"/>
              <w:rPr>
                <w:rFonts w:ascii="Sylfaen" w:hAnsi="Sylfaen"/>
              </w:rPr>
            </w:pPr>
            <w:r w:rsidRPr="009E4CF0">
              <w:rPr>
                <w:rFonts w:ascii="Sylfaen" w:hAnsi="Sylfaen"/>
              </w:rPr>
              <w:t>5807</w:t>
            </w:r>
          </w:p>
        </w:tc>
        <w:tc>
          <w:tcPr>
            <w:tcW w:w="1551" w:type="dxa"/>
          </w:tcPr>
          <w:p w:rsidR="00C933BB" w:rsidRPr="009E4CF0" w:rsidRDefault="00D12A93" w:rsidP="00B57BD2">
            <w:pPr>
              <w:pStyle w:val="TableParagraph"/>
              <w:spacing w:before="121"/>
              <w:ind w:left="373"/>
              <w:jc w:val="both"/>
              <w:rPr>
                <w:rFonts w:ascii="Sylfaen" w:hAnsi="Sylfaen"/>
              </w:rPr>
            </w:pPr>
            <w:r w:rsidRPr="009E4CF0">
              <w:rPr>
                <w:rFonts w:ascii="Sylfaen" w:hAnsi="Sylfaen"/>
              </w:rPr>
              <w:t>30 (0.52)</w:t>
            </w:r>
          </w:p>
        </w:tc>
        <w:tc>
          <w:tcPr>
            <w:tcW w:w="1133" w:type="dxa"/>
          </w:tcPr>
          <w:p w:rsidR="00C933BB" w:rsidRPr="009E4CF0" w:rsidRDefault="00D12A93" w:rsidP="00B57BD2">
            <w:pPr>
              <w:pStyle w:val="TableParagraph"/>
              <w:spacing w:before="121"/>
              <w:ind w:left="324" w:right="317"/>
              <w:jc w:val="both"/>
              <w:rPr>
                <w:rFonts w:ascii="Sylfaen" w:hAnsi="Sylfaen"/>
              </w:rPr>
            </w:pPr>
            <w:r w:rsidRPr="009E4CF0">
              <w:rPr>
                <w:rFonts w:ascii="Sylfaen" w:hAnsi="Sylfaen"/>
              </w:rPr>
              <w:t>5829</w:t>
            </w:r>
          </w:p>
        </w:tc>
        <w:tc>
          <w:tcPr>
            <w:tcW w:w="1555" w:type="dxa"/>
          </w:tcPr>
          <w:p w:rsidR="00C933BB" w:rsidRPr="009E4CF0" w:rsidRDefault="00D12A93" w:rsidP="00B57BD2">
            <w:pPr>
              <w:pStyle w:val="TableParagraph"/>
              <w:spacing w:before="121"/>
              <w:ind w:left="303" w:right="285"/>
              <w:jc w:val="both"/>
              <w:rPr>
                <w:rFonts w:ascii="Sylfaen" w:hAnsi="Sylfaen"/>
              </w:rPr>
            </w:pPr>
            <w:r w:rsidRPr="009E4CF0">
              <w:rPr>
                <w:rFonts w:ascii="Sylfaen" w:hAnsi="Sylfaen"/>
              </w:rPr>
              <w:t>101 (1.73)</w:t>
            </w:r>
          </w:p>
        </w:tc>
        <w:tc>
          <w:tcPr>
            <w:tcW w:w="1718" w:type="dxa"/>
          </w:tcPr>
          <w:p w:rsidR="00C933BB" w:rsidRPr="009E4CF0" w:rsidRDefault="00D12A93" w:rsidP="00B57BD2">
            <w:pPr>
              <w:pStyle w:val="TableParagraph"/>
              <w:spacing w:line="244" w:lineRule="exact"/>
              <w:ind w:left="215" w:right="197"/>
              <w:jc w:val="both"/>
              <w:rPr>
                <w:rFonts w:ascii="Sylfaen" w:hAnsi="Sylfaen"/>
              </w:rPr>
            </w:pPr>
            <w:r w:rsidRPr="009E4CF0">
              <w:rPr>
                <w:rFonts w:ascii="Sylfaen" w:hAnsi="Sylfaen"/>
              </w:rPr>
              <w:t>70.42</w:t>
            </w:r>
          </w:p>
          <w:p w:rsidR="00C933BB" w:rsidRPr="009E4CF0" w:rsidRDefault="00D12A93" w:rsidP="00B57BD2">
            <w:pPr>
              <w:pStyle w:val="TableParagraph"/>
              <w:spacing w:before="1" w:line="238" w:lineRule="exact"/>
              <w:ind w:left="215" w:right="206"/>
              <w:jc w:val="both"/>
              <w:rPr>
                <w:rFonts w:ascii="Sylfaen" w:hAnsi="Sylfaen"/>
              </w:rPr>
            </w:pPr>
            <w:r w:rsidRPr="009E4CF0">
              <w:rPr>
                <w:rFonts w:ascii="Sylfaen" w:hAnsi="Sylfaen"/>
              </w:rPr>
              <w:t>(54.84, 80.63)</w:t>
            </w:r>
          </w:p>
        </w:tc>
      </w:tr>
      <w:tr w:rsidR="00C933BB" w:rsidRPr="009E4CF0">
        <w:trPr>
          <w:trHeight w:val="292"/>
        </w:trPr>
        <w:tc>
          <w:tcPr>
            <w:tcW w:w="9063" w:type="dxa"/>
            <w:gridSpan w:val="6"/>
          </w:tcPr>
          <w:p w:rsidR="00C933BB" w:rsidRPr="009E4CF0" w:rsidRDefault="00D12A93" w:rsidP="00B57BD2">
            <w:pPr>
              <w:pStyle w:val="TableParagraph"/>
              <w:spacing w:before="1"/>
              <w:ind w:left="110"/>
              <w:jc w:val="both"/>
              <w:rPr>
                <w:rFonts w:ascii="Sylfaen" w:hAnsi="Sylfaen"/>
                <w:b/>
                <w:i/>
              </w:rPr>
            </w:pPr>
            <w:r w:rsidRPr="009E4CF0">
              <w:rPr>
                <w:rFonts w:ascii="Sylfaen" w:hAnsi="Sylfaen"/>
                <w:b/>
                <w:i/>
              </w:rPr>
              <w:t>ლიცენზირების რეჟიმი</w:t>
            </w:r>
          </w:p>
        </w:tc>
      </w:tr>
      <w:tr w:rsidR="00C933BB" w:rsidRPr="009E4CF0">
        <w:trPr>
          <w:trHeight w:val="508"/>
        </w:trPr>
        <w:tc>
          <w:tcPr>
            <w:tcW w:w="1973" w:type="dxa"/>
          </w:tcPr>
          <w:p w:rsidR="00C933BB" w:rsidRPr="009E4CF0" w:rsidRDefault="00D12A93" w:rsidP="00B57BD2">
            <w:pPr>
              <w:pStyle w:val="TableParagraph"/>
              <w:spacing w:before="121"/>
              <w:ind w:left="422"/>
              <w:jc w:val="both"/>
              <w:rPr>
                <w:rFonts w:ascii="Sylfaen" w:hAnsi="Sylfaen"/>
              </w:rPr>
            </w:pPr>
            <w:r w:rsidRPr="009E4CF0">
              <w:rPr>
                <w:rFonts w:ascii="Sylfaen" w:hAnsi="Sylfaen"/>
              </w:rPr>
              <w:t>SDSD</w:t>
            </w:r>
          </w:p>
        </w:tc>
        <w:tc>
          <w:tcPr>
            <w:tcW w:w="1133" w:type="dxa"/>
          </w:tcPr>
          <w:p w:rsidR="00C933BB" w:rsidRPr="009E4CF0" w:rsidRDefault="00D12A93" w:rsidP="00B57BD2">
            <w:pPr>
              <w:pStyle w:val="TableParagraph"/>
              <w:spacing w:before="121"/>
              <w:ind w:left="325" w:right="316"/>
              <w:jc w:val="both"/>
              <w:rPr>
                <w:rFonts w:ascii="Sylfaen" w:hAnsi="Sylfaen"/>
              </w:rPr>
            </w:pPr>
            <w:r w:rsidRPr="009E4CF0">
              <w:rPr>
                <w:rFonts w:ascii="Sylfaen" w:hAnsi="Sylfaen"/>
              </w:rPr>
              <w:t>4440</w:t>
            </w:r>
          </w:p>
        </w:tc>
        <w:tc>
          <w:tcPr>
            <w:tcW w:w="1551" w:type="dxa"/>
          </w:tcPr>
          <w:p w:rsidR="00C933BB" w:rsidRPr="009E4CF0" w:rsidRDefault="00D12A93" w:rsidP="00B57BD2">
            <w:pPr>
              <w:pStyle w:val="TableParagraph"/>
              <w:spacing w:before="121"/>
              <w:ind w:left="373"/>
              <w:jc w:val="both"/>
              <w:rPr>
                <w:rFonts w:ascii="Sylfaen" w:hAnsi="Sylfaen"/>
              </w:rPr>
            </w:pPr>
            <w:r w:rsidRPr="009E4CF0">
              <w:rPr>
                <w:rFonts w:ascii="Sylfaen" w:hAnsi="Sylfaen"/>
              </w:rPr>
              <w:t>27 (0.61)</w:t>
            </w:r>
          </w:p>
        </w:tc>
        <w:tc>
          <w:tcPr>
            <w:tcW w:w="1133" w:type="dxa"/>
          </w:tcPr>
          <w:p w:rsidR="00C933BB" w:rsidRPr="009E4CF0" w:rsidRDefault="00D12A93" w:rsidP="00B57BD2">
            <w:pPr>
              <w:pStyle w:val="TableParagraph"/>
              <w:spacing w:before="121"/>
              <w:ind w:left="324" w:right="317"/>
              <w:jc w:val="both"/>
              <w:rPr>
                <w:rFonts w:ascii="Sylfaen" w:hAnsi="Sylfaen"/>
              </w:rPr>
            </w:pPr>
            <w:r w:rsidRPr="009E4CF0">
              <w:rPr>
                <w:rFonts w:ascii="Sylfaen" w:hAnsi="Sylfaen"/>
              </w:rPr>
              <w:t>4455</w:t>
            </w:r>
          </w:p>
        </w:tc>
        <w:tc>
          <w:tcPr>
            <w:tcW w:w="1555" w:type="dxa"/>
          </w:tcPr>
          <w:p w:rsidR="00C933BB" w:rsidRPr="009E4CF0" w:rsidRDefault="00D12A93" w:rsidP="00B57BD2">
            <w:pPr>
              <w:pStyle w:val="TableParagraph"/>
              <w:spacing w:before="121"/>
              <w:ind w:left="299" w:right="285"/>
              <w:jc w:val="both"/>
              <w:rPr>
                <w:rFonts w:ascii="Sylfaen" w:hAnsi="Sylfaen"/>
              </w:rPr>
            </w:pPr>
            <w:r w:rsidRPr="009E4CF0">
              <w:rPr>
                <w:rFonts w:ascii="Sylfaen" w:hAnsi="Sylfaen"/>
              </w:rPr>
              <w:t>71 (1.59)</w:t>
            </w:r>
          </w:p>
        </w:tc>
        <w:tc>
          <w:tcPr>
            <w:tcW w:w="1718" w:type="dxa"/>
          </w:tcPr>
          <w:p w:rsidR="00C933BB" w:rsidRPr="009E4CF0" w:rsidRDefault="00D12A93" w:rsidP="00B57BD2">
            <w:pPr>
              <w:pStyle w:val="TableParagraph"/>
              <w:spacing w:line="249" w:lineRule="exact"/>
              <w:ind w:left="215" w:right="197"/>
              <w:jc w:val="both"/>
              <w:rPr>
                <w:rFonts w:ascii="Sylfaen" w:hAnsi="Sylfaen"/>
              </w:rPr>
            </w:pPr>
            <w:r w:rsidRPr="009E4CF0">
              <w:rPr>
                <w:rFonts w:ascii="Sylfaen" w:hAnsi="Sylfaen"/>
              </w:rPr>
              <w:t>62,10</w:t>
            </w:r>
          </w:p>
          <w:p w:rsidR="00C933BB" w:rsidRPr="009E4CF0" w:rsidRDefault="00D12A93" w:rsidP="00B57BD2">
            <w:pPr>
              <w:pStyle w:val="TableParagraph"/>
              <w:spacing w:before="1" w:line="238" w:lineRule="exact"/>
              <w:ind w:left="215" w:right="206"/>
              <w:jc w:val="both"/>
              <w:rPr>
                <w:rFonts w:ascii="Sylfaen" w:hAnsi="Sylfaen"/>
              </w:rPr>
            </w:pPr>
            <w:r w:rsidRPr="009E4CF0">
              <w:rPr>
                <w:rFonts w:ascii="Sylfaen" w:hAnsi="Sylfaen"/>
              </w:rPr>
              <w:t>(39.96, 76.08)</w:t>
            </w:r>
          </w:p>
        </w:tc>
      </w:tr>
      <w:tr w:rsidR="00C933BB" w:rsidRPr="009E4CF0">
        <w:trPr>
          <w:trHeight w:val="292"/>
        </w:trPr>
        <w:tc>
          <w:tcPr>
            <w:tcW w:w="9063" w:type="dxa"/>
            <w:gridSpan w:val="6"/>
          </w:tcPr>
          <w:p w:rsidR="00C933BB" w:rsidRPr="009E4CF0" w:rsidRDefault="00D12A93" w:rsidP="00B57BD2">
            <w:pPr>
              <w:pStyle w:val="TableParagraph"/>
              <w:spacing w:before="1"/>
              <w:ind w:left="110"/>
              <w:jc w:val="both"/>
              <w:rPr>
                <w:rFonts w:ascii="Sylfaen" w:hAnsi="Sylfaen"/>
                <w:b/>
                <w:i/>
              </w:rPr>
            </w:pPr>
            <w:r w:rsidRPr="009E4CF0">
              <w:rPr>
                <w:rFonts w:ascii="Sylfaen" w:hAnsi="Sylfaen"/>
                <w:b/>
                <w:i/>
              </w:rPr>
              <w:t>კვლევითი ანალიზი</w:t>
            </w:r>
          </w:p>
        </w:tc>
      </w:tr>
      <w:tr w:rsidR="00C933BB" w:rsidRPr="009E4CF0">
        <w:trPr>
          <w:trHeight w:val="503"/>
        </w:trPr>
        <w:tc>
          <w:tcPr>
            <w:tcW w:w="1973" w:type="dxa"/>
          </w:tcPr>
          <w:p w:rsidR="00C933BB" w:rsidRPr="009E4CF0" w:rsidRDefault="00D12A93" w:rsidP="00B57BD2">
            <w:pPr>
              <w:pStyle w:val="TableParagraph"/>
              <w:spacing w:before="121"/>
              <w:ind w:left="422"/>
              <w:jc w:val="both"/>
              <w:rPr>
                <w:rFonts w:ascii="Sylfaen" w:hAnsi="Sylfaen"/>
              </w:rPr>
            </w:pPr>
            <w:r w:rsidRPr="009E4CF0">
              <w:rPr>
                <w:rFonts w:ascii="Sylfaen" w:hAnsi="Sylfaen"/>
              </w:rPr>
              <w:t>LDSD</w:t>
            </w:r>
          </w:p>
        </w:tc>
        <w:tc>
          <w:tcPr>
            <w:tcW w:w="1133" w:type="dxa"/>
          </w:tcPr>
          <w:p w:rsidR="00C933BB" w:rsidRPr="009E4CF0" w:rsidRDefault="00D12A93" w:rsidP="00B57BD2">
            <w:pPr>
              <w:pStyle w:val="TableParagraph"/>
              <w:spacing w:before="121"/>
              <w:ind w:left="325" w:right="316"/>
              <w:jc w:val="both"/>
              <w:rPr>
                <w:rFonts w:ascii="Sylfaen" w:hAnsi="Sylfaen"/>
              </w:rPr>
            </w:pPr>
            <w:r w:rsidRPr="009E4CF0">
              <w:rPr>
                <w:rFonts w:ascii="Sylfaen" w:hAnsi="Sylfaen"/>
              </w:rPr>
              <w:t>1367</w:t>
            </w:r>
          </w:p>
        </w:tc>
        <w:tc>
          <w:tcPr>
            <w:tcW w:w="1551" w:type="dxa"/>
          </w:tcPr>
          <w:p w:rsidR="00C933BB" w:rsidRPr="009E4CF0" w:rsidRDefault="00D12A93" w:rsidP="00B57BD2">
            <w:pPr>
              <w:pStyle w:val="TableParagraph"/>
              <w:spacing w:before="121"/>
              <w:ind w:left="431"/>
              <w:jc w:val="both"/>
              <w:rPr>
                <w:rFonts w:ascii="Sylfaen" w:hAnsi="Sylfaen"/>
              </w:rPr>
            </w:pPr>
            <w:r w:rsidRPr="009E4CF0">
              <w:rPr>
                <w:rFonts w:ascii="Sylfaen" w:hAnsi="Sylfaen"/>
              </w:rPr>
              <w:t>3 (0.22)</w:t>
            </w:r>
          </w:p>
        </w:tc>
        <w:tc>
          <w:tcPr>
            <w:tcW w:w="1133" w:type="dxa"/>
          </w:tcPr>
          <w:p w:rsidR="00C933BB" w:rsidRPr="009E4CF0" w:rsidRDefault="00D12A93" w:rsidP="00B57BD2">
            <w:pPr>
              <w:pStyle w:val="TableParagraph"/>
              <w:spacing w:before="121"/>
              <w:ind w:left="324" w:right="317"/>
              <w:jc w:val="both"/>
              <w:rPr>
                <w:rFonts w:ascii="Sylfaen" w:hAnsi="Sylfaen"/>
              </w:rPr>
            </w:pPr>
            <w:r w:rsidRPr="009E4CF0">
              <w:rPr>
                <w:rFonts w:ascii="Sylfaen" w:hAnsi="Sylfaen"/>
              </w:rPr>
              <w:t>1374</w:t>
            </w:r>
          </w:p>
        </w:tc>
        <w:tc>
          <w:tcPr>
            <w:tcW w:w="1555" w:type="dxa"/>
          </w:tcPr>
          <w:p w:rsidR="00C933BB" w:rsidRPr="009E4CF0" w:rsidRDefault="00D12A93" w:rsidP="00B57BD2">
            <w:pPr>
              <w:pStyle w:val="TableParagraph"/>
              <w:spacing w:before="121"/>
              <w:ind w:left="299" w:right="285"/>
              <w:jc w:val="both"/>
              <w:rPr>
                <w:rFonts w:ascii="Sylfaen" w:hAnsi="Sylfaen"/>
              </w:rPr>
            </w:pPr>
            <w:r w:rsidRPr="009E4CF0">
              <w:rPr>
                <w:rFonts w:ascii="Sylfaen" w:hAnsi="Sylfaen"/>
              </w:rPr>
              <w:t>30 (2.18)</w:t>
            </w:r>
          </w:p>
        </w:tc>
        <w:tc>
          <w:tcPr>
            <w:tcW w:w="1718" w:type="dxa"/>
          </w:tcPr>
          <w:p w:rsidR="00C933BB" w:rsidRPr="009E4CF0" w:rsidRDefault="00D12A93" w:rsidP="00B57BD2">
            <w:pPr>
              <w:pStyle w:val="TableParagraph"/>
              <w:spacing w:line="247" w:lineRule="exact"/>
              <w:ind w:left="215" w:right="197"/>
              <w:jc w:val="both"/>
              <w:rPr>
                <w:rFonts w:ascii="Sylfaen" w:hAnsi="Sylfaen"/>
              </w:rPr>
            </w:pPr>
            <w:r w:rsidRPr="009E4CF0">
              <w:rPr>
                <w:rFonts w:ascii="Sylfaen" w:hAnsi="Sylfaen"/>
              </w:rPr>
              <w:t>90.05</w:t>
            </w:r>
          </w:p>
          <w:p w:rsidR="00C933BB" w:rsidRPr="009E4CF0" w:rsidRDefault="00D12A93" w:rsidP="00B57BD2">
            <w:pPr>
              <w:pStyle w:val="TableParagraph"/>
              <w:spacing w:line="236" w:lineRule="exact"/>
              <w:ind w:left="215" w:right="206"/>
              <w:jc w:val="both"/>
              <w:rPr>
                <w:rFonts w:ascii="Sylfaen" w:hAnsi="Sylfaen"/>
              </w:rPr>
            </w:pPr>
            <w:r w:rsidRPr="009E4CF0">
              <w:rPr>
                <w:rFonts w:ascii="Sylfaen" w:hAnsi="Sylfaen"/>
              </w:rPr>
              <w:t>(65.84, 97.10)</w:t>
            </w:r>
          </w:p>
        </w:tc>
      </w:tr>
    </w:tbl>
    <w:p w:rsidR="00C933BB" w:rsidRPr="009E4CF0" w:rsidRDefault="00D12A93" w:rsidP="00A9068F">
      <w:pPr>
        <w:ind w:left="115" w:right="52"/>
        <w:jc w:val="both"/>
        <w:rPr>
          <w:rFonts w:ascii="Sylfaen" w:hAnsi="Sylfaen"/>
          <w:sz w:val="20"/>
        </w:rPr>
      </w:pPr>
      <w:r w:rsidRPr="009E4CF0">
        <w:rPr>
          <w:rFonts w:ascii="Sylfaen" w:hAnsi="Sylfaen"/>
          <w:sz w:val="20"/>
        </w:rPr>
        <w:t>N=თითოეულ ჯგუფში შემავალი სუბიექტები; n = დადასტურებული შემთხვევის მქონე სუბიექტების რაოდენობა; CI =ნდობის ინტერვალი;  LD = დაბალი დოზა; SD = სტანდარტული დოზა</w:t>
      </w:r>
    </w:p>
    <w:p w:rsidR="00C933BB" w:rsidRPr="009E4CF0" w:rsidRDefault="00D12A93" w:rsidP="007C377F">
      <w:pPr>
        <w:spacing w:before="1"/>
        <w:ind w:left="115" w:right="24"/>
        <w:jc w:val="both"/>
        <w:rPr>
          <w:rFonts w:ascii="Sylfaen" w:hAnsi="Sylfaen"/>
          <w:sz w:val="20"/>
        </w:rPr>
      </w:pPr>
      <w:r w:rsidRPr="009E4CF0">
        <w:rPr>
          <w:rFonts w:ascii="Sylfaen" w:hAnsi="Sylfaen"/>
          <w:sz w:val="20"/>
          <w:vertAlign w:val="superscript"/>
        </w:rPr>
        <w:t>ა</w:t>
      </w:r>
      <w:r w:rsidR="00A9068F" w:rsidRPr="009E4CF0">
        <w:rPr>
          <w:rFonts w:ascii="Sylfaen" w:hAnsi="Sylfaen"/>
          <w:sz w:val="20"/>
          <w:vertAlign w:val="superscript"/>
        </w:rPr>
        <w:t xml:space="preserve"> </w:t>
      </w:r>
      <w:r w:rsidRPr="009E4CF0">
        <w:rPr>
          <w:rFonts w:ascii="Sylfaen" w:hAnsi="Sylfaen"/>
          <w:sz w:val="20"/>
        </w:rPr>
        <w:t>პირველადი კვლევის საბოლოო წერტილი ეფუძნებოდა COVID-19-ის დადასტურებულ შემთხვევებს 18 წლის და უფროსი ასაკის სუბიექტებში, რომლებიც საწყის დონეზე სერონეგატიურები იყვნენ, რომლებმაც მიიღეს ორი დოზა (SDSD ან LDSD) და კვლევის დროს მათი მეორე დოზის მიღებიდან 15 ან უფრო მეტი დღე იყო გასული.</w:t>
      </w:r>
    </w:p>
    <w:p w:rsidR="00C933BB" w:rsidRPr="009E4CF0" w:rsidRDefault="00A9068F" w:rsidP="007C377F">
      <w:pPr>
        <w:spacing w:before="1"/>
        <w:ind w:left="115" w:right="38"/>
        <w:jc w:val="both"/>
        <w:rPr>
          <w:rFonts w:ascii="Sylfaen" w:hAnsi="Sylfaen"/>
          <w:sz w:val="20"/>
        </w:rPr>
      </w:pPr>
      <w:r w:rsidRPr="009E4CF0">
        <w:rPr>
          <w:rFonts w:ascii="Sylfaen" w:hAnsi="Sylfaen"/>
          <w:sz w:val="20"/>
          <w:vertAlign w:val="superscript"/>
        </w:rPr>
        <w:t>ბ</w:t>
      </w:r>
      <w:r w:rsidR="00D12A93" w:rsidRPr="009E4CF0">
        <w:rPr>
          <w:rFonts w:ascii="Sylfaen" w:hAnsi="Sylfaen"/>
          <w:sz w:val="20"/>
        </w:rPr>
        <w:t xml:space="preserve"> ვირუსოლოგიურად </w:t>
      </w:r>
      <w:r w:rsidR="009E4CF0" w:rsidRPr="009E4CF0">
        <w:rPr>
          <w:rFonts w:ascii="Sylfaen" w:hAnsi="Sylfaen"/>
          <w:sz w:val="20"/>
        </w:rPr>
        <w:t>დადასტურებული</w:t>
      </w:r>
      <w:r w:rsidR="00D12A93" w:rsidRPr="009E4CF0">
        <w:rPr>
          <w:rFonts w:ascii="Sylfaen" w:hAnsi="Sylfaen"/>
          <w:sz w:val="20"/>
        </w:rPr>
        <w:t xml:space="preserve"> SARS-CoV-2 და არანაკლებ ერთ-ერთი ჩამოთვლილი სიმპტომებიდან: ობიექტური ცხელება (განისაზღვრება 37.8°C ან უფრო მაღალი ტემპერატურით)</w:t>
      </w:r>
      <w:r w:rsidR="007C377F" w:rsidRPr="009E4CF0">
        <w:rPr>
          <w:rFonts w:ascii="Sylfaen" w:hAnsi="Sylfaen"/>
          <w:sz w:val="20"/>
        </w:rPr>
        <w:t xml:space="preserve">  </w:t>
      </w:r>
      <w:r w:rsidR="00D12A93" w:rsidRPr="009E4CF0">
        <w:rPr>
          <w:rFonts w:ascii="Sylfaen" w:hAnsi="Sylfaen"/>
          <w:sz w:val="20"/>
        </w:rPr>
        <w:t>ხველა, სუნთქვის გაძნელება, ანოსმია ან აგევზია. დადასტურებულია საექსპერტო კომიტეტის მიერ.</w:t>
      </w:r>
    </w:p>
    <w:p w:rsidR="00C933BB" w:rsidRPr="009E4CF0" w:rsidRDefault="00C933BB" w:rsidP="00B57BD2">
      <w:pPr>
        <w:jc w:val="both"/>
        <w:rPr>
          <w:rFonts w:ascii="Sylfaen" w:hAnsi="Sylfaen"/>
          <w:sz w:val="20"/>
        </w:rPr>
      </w:pPr>
    </w:p>
    <w:p w:rsidR="00C933BB" w:rsidRPr="009E4CF0" w:rsidRDefault="00D12A93" w:rsidP="007C377F">
      <w:pPr>
        <w:pStyle w:val="BodyText"/>
        <w:spacing w:before="75"/>
        <w:ind w:left="115" w:right="24"/>
        <w:jc w:val="both"/>
        <w:rPr>
          <w:rFonts w:ascii="Sylfaen" w:hAnsi="Sylfaen"/>
        </w:rPr>
      </w:pPr>
      <w:r w:rsidRPr="009E4CF0">
        <w:rPr>
          <w:rFonts w:ascii="Sylfaen" w:hAnsi="Sylfaen"/>
        </w:rPr>
        <w:t xml:space="preserve">კვლევითმა ანალიზებმა აჩვენა, რომ ამაღლებული იმუნოგენობა დაკავშირებული იყო დოზების უფრო ხანგრძლივ ინტერვალთან (იხილეთ </w:t>
      </w:r>
      <w:r w:rsidRPr="009E4CF0">
        <w:rPr>
          <w:rFonts w:ascii="Sylfaen" w:hAnsi="Sylfaen"/>
          <w:i/>
        </w:rPr>
        <w:t>იმუნოგენობის</w:t>
      </w:r>
      <w:r w:rsidRPr="009E4CF0">
        <w:rPr>
          <w:rFonts w:ascii="Sylfaen" w:hAnsi="Sylfaen"/>
        </w:rPr>
        <w:t xml:space="preserve"> ცხრილი 3), ასევე ანალოგიური ტენდენცია აღინიშნებოდა ეფექტურობასთან დაკავშირებითაც. დოზებს შორის უფრო ხანგრძლივი ინტერვალით შეიძლება აიხსნებოდეს, ნაწილობრივ მაინც, LDSD ჯგუფში ეფექტურობის უფრო მაღალი მაჩვენებელიც.</w:t>
      </w:r>
    </w:p>
    <w:p w:rsidR="00C933BB" w:rsidRPr="009E4CF0" w:rsidRDefault="00C933BB" w:rsidP="00B57BD2">
      <w:pPr>
        <w:pStyle w:val="BodyText"/>
        <w:spacing w:before="1"/>
        <w:jc w:val="both"/>
        <w:rPr>
          <w:rFonts w:ascii="Sylfaen" w:hAnsi="Sylfaen"/>
        </w:rPr>
      </w:pPr>
    </w:p>
    <w:p w:rsidR="00C933BB" w:rsidRPr="009E4CF0" w:rsidRDefault="00D12A93" w:rsidP="007C377F">
      <w:pPr>
        <w:pStyle w:val="BodyText"/>
        <w:ind w:left="115" w:right="24"/>
        <w:jc w:val="both"/>
        <w:rPr>
          <w:rFonts w:ascii="Sylfaen" w:hAnsi="Sylfaen"/>
        </w:rPr>
      </w:pPr>
      <w:r w:rsidRPr="009E4CF0">
        <w:rPr>
          <w:rFonts w:ascii="Sylfaen" w:hAnsi="Sylfaen"/>
        </w:rPr>
        <w:t xml:space="preserve">AstraZeneca-ს COVID-19 ვაქცინის ერთი სტანდარტული დოზით მიღებული დაცვის დონე შეფასდა განმარტებით ანალიზში, რომელიც მოიცავდა მონაწილეებს, რომლებმაც ვაქცინის </w:t>
      </w:r>
      <w:r w:rsidRPr="009E4CF0">
        <w:rPr>
          <w:rFonts w:ascii="Sylfaen" w:hAnsi="Sylfaen"/>
        </w:rPr>
        <w:lastRenderedPageBreak/>
        <w:t xml:space="preserve">ერთი </w:t>
      </w:r>
      <w:r w:rsidR="009E4CF0" w:rsidRPr="009E4CF0">
        <w:rPr>
          <w:rFonts w:ascii="Sylfaen" w:hAnsi="Sylfaen"/>
        </w:rPr>
        <w:t>სტანდარტული</w:t>
      </w:r>
      <w:r w:rsidRPr="009E4CF0">
        <w:rPr>
          <w:rFonts w:ascii="Sylfaen" w:hAnsi="Sylfaen"/>
        </w:rPr>
        <w:t xml:space="preserve"> დოზა მიიღეს. ყველა მონაწილე, რომელმაც ვაქცინის მეორე დოზა მიიღო, დროის იმ პერიოდში ანალიზიდან გამოირიცხა. აღნიშნულ პოპულაციაში ვაქცინის ეფექტურობა პირველი დოზის 22-ე დღიდან შეადგენდა 71.30%-ს (95% CI: 49.02; 83.84 [AstraZeneca-ს COVID-19 ვაქცინა 15/6,310 და კონტროლი 52/6,296]).</w:t>
      </w:r>
    </w:p>
    <w:p w:rsidR="00C933BB" w:rsidRPr="009E4CF0" w:rsidRDefault="00C933BB" w:rsidP="00B57BD2">
      <w:pPr>
        <w:pStyle w:val="BodyText"/>
        <w:spacing w:before="10"/>
        <w:jc w:val="both"/>
        <w:rPr>
          <w:rFonts w:ascii="Sylfaen" w:hAnsi="Sylfaen"/>
          <w:sz w:val="21"/>
        </w:rPr>
      </w:pPr>
    </w:p>
    <w:p w:rsidR="00C933BB" w:rsidRPr="009E4CF0" w:rsidRDefault="00D12A93" w:rsidP="007C377F">
      <w:pPr>
        <w:pStyle w:val="BodyText"/>
        <w:ind w:left="115" w:right="24"/>
        <w:jc w:val="both"/>
        <w:rPr>
          <w:rFonts w:ascii="Sylfaen" w:hAnsi="Sylfaen"/>
        </w:rPr>
      </w:pPr>
      <w:r w:rsidRPr="009E4CF0">
        <w:rPr>
          <w:rFonts w:ascii="Sylfaen" w:hAnsi="Sylfaen"/>
        </w:rPr>
        <w:t>AstraZeneca-ს COVID-19 ვაქცინამ შეამცირა COVID-19-ის ჰოსპიტალიზაციის შემთხვევები (ჯანმრთელობის მსოფლიო ორგანიზაციის კლასიფიკაციით ≥4-ით). COVID-19-ის ჰოსპიტალიზაციის 0 (0.0%; N=5,807) შემთხვევა დაფიქსირდა იმ მონაწილეებში, რომლებმაც AstraZeneca COVID-19 ვაქცინის 2 დოზა მიიღეს (SDSD + LDSD, ≥15 დღე დოზის შემდეგ  2) კონტროლის 5 (0.09%; N=5,829) შემთხვევასთან შედარებით. ყველა მონაწილის შემთხვევაში, რომლებმაც პირველ დოზად სტანდარტული დოზა მიღეს, პირველი დოზის 22-ე დღიდან დაფიქსირდა COVID-19-ის ჰოსპიტალიზაციის 0 შემთხვევა იმ მონაწილეებში, რომლებმაც AstraZeneca COVID-19 ვაქცინა მიიღეს, კონტროლის 9 (0.14%, N=6,297) შემთხვევასთან შედარებით.</w:t>
      </w:r>
    </w:p>
    <w:p w:rsidR="00C933BB" w:rsidRPr="009E4CF0" w:rsidRDefault="00C933BB" w:rsidP="00B57BD2">
      <w:pPr>
        <w:pStyle w:val="BodyText"/>
        <w:spacing w:before="2"/>
        <w:jc w:val="both"/>
        <w:rPr>
          <w:rFonts w:ascii="Sylfaen" w:hAnsi="Sylfaen"/>
        </w:rPr>
      </w:pPr>
    </w:p>
    <w:p w:rsidR="00C933BB" w:rsidRPr="009E4CF0" w:rsidRDefault="00D12A93" w:rsidP="007C377F">
      <w:pPr>
        <w:pStyle w:val="BodyText"/>
        <w:ind w:left="115" w:right="38"/>
        <w:jc w:val="both"/>
        <w:rPr>
          <w:rFonts w:ascii="Sylfaen" w:hAnsi="Sylfaen"/>
        </w:rPr>
      </w:pPr>
      <w:r w:rsidRPr="009E4CF0">
        <w:rPr>
          <w:rFonts w:ascii="Sylfaen" w:hAnsi="Sylfaen"/>
        </w:rPr>
        <w:t>მონაწილეებში, რომლებსაც ერთი ან მეტი თანმხლები დაავადება აღენიშნებოდათ, ვაქცინის ეფექტურობა 73.43%-ს შეადგენდა [95% CI: 48.49; 86.29]; 11 (0.53%) და 43 (2.02%) AstraZeneca COVID 19 ვაქცინის შემთხვევაში (N=2,070) და კონტროლის შემთხვევაში(N=2,113), რაც მთელ პოპულაციაში გამოვლენილი ვაქცინის ეფექტურობის ანალოგიური იყო.</w:t>
      </w:r>
    </w:p>
    <w:p w:rsidR="00C933BB" w:rsidRPr="009E4CF0" w:rsidRDefault="00C933BB" w:rsidP="00B57BD2">
      <w:pPr>
        <w:pStyle w:val="BodyText"/>
        <w:spacing w:before="8"/>
        <w:jc w:val="both"/>
        <w:rPr>
          <w:rFonts w:ascii="Sylfaen" w:hAnsi="Sylfaen"/>
          <w:sz w:val="21"/>
        </w:rPr>
      </w:pPr>
    </w:p>
    <w:p w:rsidR="00C933BB" w:rsidRPr="009E4CF0" w:rsidRDefault="00D12A93" w:rsidP="007C377F">
      <w:pPr>
        <w:pStyle w:val="BodyText"/>
        <w:ind w:left="115" w:right="24"/>
        <w:jc w:val="both"/>
        <w:rPr>
          <w:rFonts w:ascii="Sylfaen" w:hAnsi="Sylfaen"/>
        </w:rPr>
      </w:pPr>
      <w:r w:rsidRPr="009E4CF0">
        <w:rPr>
          <w:rFonts w:ascii="Sylfaen" w:hAnsi="Sylfaen"/>
        </w:rPr>
        <w:t>COVID-19-ის შემთხვევების რაოდენობა 65 წლის და უფროსი ასაკის მონაწილეებში ძალიან მცირე იყო ეფექტურობის დასკვნის გასაკეთებლად. ამ ქვეპოპულაციაში, ეფექტურობაზე დასკვნა გაკეთდა იმუნოგენობის მონაცემების საფუძველზე, რომელიც ქვემოთ არის მოცემული.</w:t>
      </w:r>
    </w:p>
    <w:p w:rsidR="00C933BB" w:rsidRPr="009E4CF0" w:rsidRDefault="00C933BB" w:rsidP="00B57BD2">
      <w:pPr>
        <w:pStyle w:val="BodyText"/>
        <w:spacing w:before="4"/>
        <w:jc w:val="both"/>
        <w:rPr>
          <w:rFonts w:ascii="Sylfaen" w:hAnsi="Sylfaen"/>
        </w:rPr>
      </w:pPr>
    </w:p>
    <w:p w:rsidR="00C933BB" w:rsidRPr="009E4CF0" w:rsidRDefault="00D12A93" w:rsidP="00B57BD2">
      <w:pPr>
        <w:pStyle w:val="BodyText"/>
        <w:spacing w:line="251" w:lineRule="exact"/>
        <w:ind w:left="115"/>
        <w:jc w:val="both"/>
        <w:rPr>
          <w:rFonts w:ascii="Sylfaen" w:hAnsi="Sylfaen"/>
        </w:rPr>
      </w:pPr>
      <w:r w:rsidRPr="009E4CF0">
        <w:rPr>
          <w:rFonts w:ascii="Sylfaen" w:hAnsi="Sylfaen"/>
          <w:u w:val="single"/>
        </w:rPr>
        <w:t>იმუნოგენობა</w:t>
      </w:r>
    </w:p>
    <w:p w:rsidR="00C933BB" w:rsidRPr="009E4CF0" w:rsidRDefault="00D12A93" w:rsidP="00B57BD2">
      <w:pPr>
        <w:spacing w:line="251" w:lineRule="exact"/>
        <w:ind w:left="115"/>
        <w:jc w:val="both"/>
        <w:rPr>
          <w:rFonts w:ascii="Sylfaen" w:hAnsi="Sylfaen"/>
          <w:i/>
        </w:rPr>
      </w:pPr>
      <w:r w:rsidRPr="009E4CF0">
        <w:rPr>
          <w:rFonts w:ascii="Sylfaen" w:hAnsi="Sylfaen"/>
          <w:i/>
        </w:rPr>
        <w:t xml:space="preserve">COV001, COV002, COV003, </w:t>
      </w:r>
      <w:r w:rsidR="009E4CF0">
        <w:rPr>
          <w:rFonts w:ascii="Sylfaen" w:hAnsi="Sylfaen"/>
          <w:i/>
        </w:rPr>
        <w:t xml:space="preserve">და </w:t>
      </w:r>
      <w:r w:rsidRPr="009E4CF0">
        <w:rPr>
          <w:rFonts w:ascii="Sylfaen" w:hAnsi="Sylfaen"/>
          <w:i/>
        </w:rPr>
        <w:t>COV005 -ის გაერთიანებული მონაცემების შუალედური ანალიზი</w:t>
      </w:r>
    </w:p>
    <w:p w:rsidR="00C933BB" w:rsidRPr="009E4CF0" w:rsidRDefault="00D12A93" w:rsidP="007C377F">
      <w:pPr>
        <w:pStyle w:val="BodyText"/>
        <w:spacing w:before="1"/>
        <w:ind w:left="115" w:right="10"/>
        <w:jc w:val="both"/>
        <w:rPr>
          <w:rFonts w:ascii="Sylfaen" w:hAnsi="Sylfaen"/>
        </w:rPr>
      </w:pPr>
      <w:r w:rsidRPr="009E4CF0">
        <w:rPr>
          <w:rFonts w:ascii="Sylfaen" w:hAnsi="Sylfaen"/>
        </w:rPr>
        <w:t>AstraZeneca-ს COVID-19 ვაქცინით ვაქცინაციის შემდეგ, მონაწილეები, რომლებიც საწყის ეტაპზე სერონეგატიურები იყვნენ, სეროკონვერსიის (რომლის გაზომვაც მოხდა S</w:t>
      </w:r>
      <w:r w:rsidR="00A62A91">
        <w:rPr>
          <w:rFonts w:ascii="Sylfaen" w:hAnsi="Sylfaen"/>
        </w:rPr>
        <w:t>შემბოჭველ</w:t>
      </w:r>
      <w:r w:rsidR="00A62A91" w:rsidRPr="009E4CF0">
        <w:rPr>
          <w:rFonts w:ascii="Sylfaen" w:hAnsi="Sylfaen"/>
        </w:rPr>
        <w:t xml:space="preserve"> </w:t>
      </w:r>
      <w:r w:rsidRPr="009E4CF0">
        <w:rPr>
          <w:rFonts w:ascii="Sylfaen" w:hAnsi="Sylfaen"/>
        </w:rPr>
        <w:t>ანტისხეულებში ≥4-ჯერ ზრდით საწყის დონეზე) დემონსტრირება მოხდა 98%-ზე მეტ მონაწილეში პირველი დოზიდან 28-ე დღეს, ხოლო მეორე დოზიდან 28-ე დღეს - 99%-ზე მეტ მონაწილეში. უფრო მაღალი S</w:t>
      </w:r>
      <w:r w:rsidR="00A62A91" w:rsidRPr="009E4CF0">
        <w:rPr>
          <w:rFonts w:ascii="Sylfaen" w:hAnsi="Sylfaen"/>
        </w:rPr>
        <w:t>-შ</w:t>
      </w:r>
      <w:r w:rsidR="00A62A91">
        <w:rPr>
          <w:rFonts w:ascii="Sylfaen" w:hAnsi="Sylfaen"/>
        </w:rPr>
        <w:t>ემბოჭველი</w:t>
      </w:r>
      <w:r w:rsidR="00A62A91" w:rsidRPr="009E4CF0">
        <w:rPr>
          <w:rFonts w:ascii="Sylfaen" w:hAnsi="Sylfaen"/>
        </w:rPr>
        <w:t xml:space="preserve"> </w:t>
      </w:r>
      <w:r w:rsidRPr="009E4CF0">
        <w:rPr>
          <w:rFonts w:ascii="Sylfaen" w:hAnsi="Sylfaen"/>
        </w:rPr>
        <w:t>ანტისხეულები დაფიქსირდა დოზების ინტერვალის გაზრდისას (ცხრილი 3).</w:t>
      </w:r>
    </w:p>
    <w:p w:rsidR="00C933BB" w:rsidRPr="009E4CF0" w:rsidRDefault="00C933BB" w:rsidP="00B57BD2">
      <w:pPr>
        <w:pStyle w:val="BodyText"/>
        <w:spacing w:before="9"/>
        <w:jc w:val="both"/>
        <w:rPr>
          <w:rFonts w:ascii="Sylfaen" w:hAnsi="Sylfaen"/>
          <w:sz w:val="21"/>
        </w:rPr>
      </w:pPr>
    </w:p>
    <w:p w:rsidR="00C933BB" w:rsidRPr="009E4CF0" w:rsidRDefault="00D12A93" w:rsidP="007C377F">
      <w:pPr>
        <w:pStyle w:val="BodyText"/>
        <w:ind w:left="115" w:right="10"/>
        <w:jc w:val="both"/>
        <w:rPr>
          <w:rFonts w:ascii="Sylfaen" w:hAnsi="Sylfaen"/>
        </w:rPr>
      </w:pPr>
      <w:r w:rsidRPr="009E4CF0">
        <w:rPr>
          <w:rFonts w:ascii="Sylfaen" w:hAnsi="Sylfaen"/>
        </w:rPr>
        <w:t>მთლიანობაში, ანალოგიური ტენდენციები დაფიქსირდა მანეიტრალებელ ანტისხეულებისა და S</w:t>
      </w:r>
      <w:r w:rsidR="00A62A91" w:rsidRPr="009E4CF0">
        <w:rPr>
          <w:rFonts w:ascii="Sylfaen" w:hAnsi="Sylfaen"/>
        </w:rPr>
        <w:t>-</w:t>
      </w:r>
      <w:r w:rsidR="00A62A91">
        <w:rPr>
          <w:rFonts w:ascii="Sylfaen" w:hAnsi="Sylfaen"/>
        </w:rPr>
        <w:t>შემბოჭველი</w:t>
      </w:r>
      <w:r w:rsidR="00A62A91" w:rsidRPr="009E4CF0">
        <w:rPr>
          <w:rFonts w:ascii="Sylfaen" w:hAnsi="Sylfaen"/>
        </w:rPr>
        <w:t xml:space="preserve"> </w:t>
      </w:r>
      <w:r w:rsidRPr="009E4CF0">
        <w:rPr>
          <w:rFonts w:ascii="Sylfaen" w:hAnsi="Sylfaen"/>
        </w:rPr>
        <w:t>ანტისხეულების ანალიზებს შორის. დაცვის იმუნოლოგიური კორელაცია დადგენილი არ არის; შესაბამისად, იმუნური პასუხის დონე, რომელიც უზრუნველყოფს COVID-1</w:t>
      </w:r>
      <w:r w:rsidR="007C377F" w:rsidRPr="009E4CF0">
        <w:rPr>
          <w:rFonts w:ascii="Sylfaen" w:hAnsi="Sylfaen"/>
        </w:rPr>
        <w:t>9-ისგან დაცვას, ცნობილი არ არის</w:t>
      </w:r>
    </w:p>
    <w:p w:rsidR="007C377F" w:rsidRPr="009E4CF0" w:rsidRDefault="007C377F" w:rsidP="007C377F">
      <w:pPr>
        <w:pStyle w:val="BodyText"/>
        <w:ind w:left="115" w:right="10"/>
        <w:jc w:val="both"/>
        <w:rPr>
          <w:rFonts w:ascii="Sylfaen" w:hAnsi="Sylfaen"/>
        </w:rPr>
      </w:pPr>
    </w:p>
    <w:p w:rsidR="00C933BB" w:rsidRPr="009E4CF0" w:rsidRDefault="00D12A93" w:rsidP="00B57BD2">
      <w:pPr>
        <w:pStyle w:val="Heading1"/>
        <w:tabs>
          <w:tab w:val="left" w:pos="1555"/>
        </w:tabs>
        <w:spacing w:after="2"/>
        <w:ind w:left="1532" w:right="419" w:hanging="1416"/>
        <w:jc w:val="both"/>
        <w:rPr>
          <w:rFonts w:ascii="Sylfaen" w:hAnsi="Sylfaen"/>
        </w:rPr>
      </w:pPr>
      <w:r w:rsidRPr="009E4CF0">
        <w:rPr>
          <w:rFonts w:ascii="Sylfaen" w:hAnsi="Sylfaen"/>
        </w:rPr>
        <w:t>ცხრილი 3</w:t>
      </w:r>
      <w:r w:rsidRPr="009E4CF0">
        <w:rPr>
          <w:rFonts w:ascii="Sylfaen" w:hAnsi="Sylfaen"/>
        </w:rPr>
        <w:tab/>
      </w:r>
      <w:r w:rsidRPr="009E4CF0">
        <w:rPr>
          <w:rFonts w:ascii="Sylfaen" w:hAnsi="Sylfaen"/>
        </w:rPr>
        <w:tab/>
        <w:t>SARS CoV-2-ის S</w:t>
      </w:r>
      <w:r w:rsidR="00A62A91" w:rsidRPr="009E4CF0">
        <w:rPr>
          <w:rFonts w:ascii="Sylfaen" w:hAnsi="Sylfaen"/>
        </w:rPr>
        <w:t>-</w:t>
      </w:r>
      <w:r w:rsidR="00A62A91">
        <w:rPr>
          <w:rFonts w:ascii="Sylfaen" w:hAnsi="Sylfaen"/>
        </w:rPr>
        <w:t>შემბოჭველი</w:t>
      </w:r>
      <w:r w:rsidR="00A62A91" w:rsidRPr="009E4CF0">
        <w:rPr>
          <w:rFonts w:ascii="Sylfaen" w:hAnsi="Sylfaen"/>
        </w:rPr>
        <w:t xml:space="preserve"> </w:t>
      </w:r>
      <w:r w:rsidRPr="009E4CF0">
        <w:rPr>
          <w:rFonts w:ascii="Sylfaen" w:hAnsi="Sylfaen"/>
        </w:rPr>
        <w:t>ანტისხეულების პასუხი AstraZeneca COVID-19 ვაქცინაზე (SDSD)</w:t>
      </w:r>
      <w:r w:rsidRPr="009E4CF0">
        <w:rPr>
          <w:rFonts w:ascii="Sylfaen" w:hAnsi="Sylfaen"/>
          <w:vertAlign w:val="superscript"/>
        </w:rPr>
        <w:t>a</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6"/>
        <w:gridCol w:w="2266"/>
        <w:gridCol w:w="2266"/>
        <w:gridCol w:w="2266"/>
      </w:tblGrid>
      <w:tr w:rsidR="00C933BB" w:rsidRPr="009E4CF0">
        <w:trPr>
          <w:trHeight w:val="253"/>
        </w:trPr>
        <w:tc>
          <w:tcPr>
            <w:tcW w:w="2266" w:type="dxa"/>
            <w:vMerge w:val="restart"/>
          </w:tcPr>
          <w:p w:rsidR="00C933BB" w:rsidRPr="009E4CF0" w:rsidRDefault="00C933BB" w:rsidP="00B57BD2">
            <w:pPr>
              <w:pStyle w:val="TableParagraph"/>
              <w:spacing w:before="7"/>
              <w:ind w:left="0"/>
              <w:jc w:val="both"/>
              <w:rPr>
                <w:rFonts w:ascii="Sylfaen" w:hAnsi="Sylfaen"/>
                <w:b/>
              </w:rPr>
            </w:pPr>
          </w:p>
          <w:p w:rsidR="00C933BB" w:rsidRPr="009E4CF0" w:rsidRDefault="00D12A93" w:rsidP="00B57BD2">
            <w:pPr>
              <w:pStyle w:val="TableParagraph"/>
              <w:ind w:left="619"/>
              <w:jc w:val="both"/>
              <w:rPr>
                <w:rFonts w:ascii="Sylfaen" w:hAnsi="Sylfaen"/>
                <w:b/>
              </w:rPr>
            </w:pPr>
            <w:r w:rsidRPr="009E4CF0">
              <w:rPr>
                <w:rFonts w:ascii="Sylfaen" w:hAnsi="Sylfaen"/>
                <w:b/>
              </w:rPr>
              <w:t>პოპულაცია</w:t>
            </w:r>
          </w:p>
        </w:tc>
        <w:tc>
          <w:tcPr>
            <w:tcW w:w="2266" w:type="dxa"/>
          </w:tcPr>
          <w:p w:rsidR="00C933BB" w:rsidRPr="009E4CF0" w:rsidRDefault="00D12A93" w:rsidP="00B57BD2">
            <w:pPr>
              <w:pStyle w:val="TableParagraph"/>
              <w:spacing w:before="1" w:line="233" w:lineRule="exact"/>
              <w:ind w:right="179"/>
              <w:jc w:val="both"/>
              <w:rPr>
                <w:rFonts w:ascii="Sylfaen" w:hAnsi="Sylfaen"/>
                <w:b/>
              </w:rPr>
            </w:pPr>
            <w:r w:rsidRPr="009E4CF0">
              <w:rPr>
                <w:rFonts w:ascii="Sylfaen" w:hAnsi="Sylfaen"/>
                <w:b/>
              </w:rPr>
              <w:t>საწყისი მონაცემები</w:t>
            </w:r>
          </w:p>
        </w:tc>
        <w:tc>
          <w:tcPr>
            <w:tcW w:w="2266" w:type="dxa"/>
          </w:tcPr>
          <w:p w:rsidR="00C933BB" w:rsidRPr="009E4CF0" w:rsidRDefault="00D12A93" w:rsidP="00B57BD2">
            <w:pPr>
              <w:pStyle w:val="TableParagraph"/>
              <w:spacing w:before="1" w:line="233" w:lineRule="exact"/>
              <w:ind w:right="181"/>
              <w:jc w:val="both"/>
              <w:rPr>
                <w:rFonts w:ascii="Sylfaen" w:hAnsi="Sylfaen"/>
                <w:b/>
              </w:rPr>
            </w:pPr>
            <w:r w:rsidRPr="009E4CF0">
              <w:rPr>
                <w:rFonts w:ascii="Sylfaen" w:hAnsi="Sylfaen"/>
                <w:b/>
              </w:rPr>
              <w:t>28 დღე პირველი დოზიდან</w:t>
            </w:r>
          </w:p>
        </w:tc>
        <w:tc>
          <w:tcPr>
            <w:tcW w:w="2266" w:type="dxa"/>
          </w:tcPr>
          <w:p w:rsidR="00C933BB" w:rsidRPr="009E4CF0" w:rsidRDefault="00D12A93" w:rsidP="00B57BD2">
            <w:pPr>
              <w:pStyle w:val="TableParagraph"/>
              <w:spacing w:before="1" w:line="233" w:lineRule="exact"/>
              <w:ind w:left="0" w:right="201"/>
              <w:jc w:val="both"/>
              <w:rPr>
                <w:rFonts w:ascii="Sylfaen" w:hAnsi="Sylfaen"/>
                <w:b/>
              </w:rPr>
            </w:pPr>
            <w:r w:rsidRPr="009E4CF0">
              <w:rPr>
                <w:rFonts w:ascii="Sylfaen" w:hAnsi="Sylfaen"/>
                <w:b/>
              </w:rPr>
              <w:t>28 დღე მეორე დოზიდან</w:t>
            </w:r>
          </w:p>
        </w:tc>
      </w:tr>
      <w:tr w:rsidR="00C933BB" w:rsidRPr="009E4CF0">
        <w:trPr>
          <w:trHeight w:val="503"/>
        </w:trPr>
        <w:tc>
          <w:tcPr>
            <w:tcW w:w="2266" w:type="dxa"/>
            <w:vMerge/>
            <w:tcBorders>
              <w:top w:val="nil"/>
            </w:tcBorders>
          </w:tcPr>
          <w:p w:rsidR="00C933BB" w:rsidRPr="009E4CF0" w:rsidRDefault="00C933BB" w:rsidP="00B57BD2">
            <w:pPr>
              <w:jc w:val="both"/>
              <w:rPr>
                <w:rFonts w:ascii="Sylfaen" w:hAnsi="Sylfaen"/>
                <w:sz w:val="2"/>
                <w:szCs w:val="2"/>
              </w:rPr>
            </w:pPr>
          </w:p>
        </w:tc>
        <w:tc>
          <w:tcPr>
            <w:tcW w:w="2266" w:type="dxa"/>
          </w:tcPr>
          <w:p w:rsidR="00C933BB" w:rsidRPr="009E4CF0" w:rsidRDefault="00D12A93" w:rsidP="00B57BD2">
            <w:pPr>
              <w:pStyle w:val="TableParagraph"/>
              <w:spacing w:before="6" w:line="250" w:lineRule="exact"/>
              <w:ind w:left="690" w:right="659" w:firstLine="182"/>
              <w:jc w:val="both"/>
              <w:rPr>
                <w:rFonts w:ascii="Sylfaen" w:hAnsi="Sylfaen"/>
                <w:b/>
              </w:rPr>
            </w:pPr>
            <w:r w:rsidRPr="009E4CF0">
              <w:rPr>
                <w:rFonts w:ascii="Sylfaen" w:hAnsi="Sylfaen"/>
                <w:b/>
              </w:rPr>
              <w:t>GMT (95% CI)</w:t>
            </w:r>
          </w:p>
        </w:tc>
        <w:tc>
          <w:tcPr>
            <w:tcW w:w="2266" w:type="dxa"/>
          </w:tcPr>
          <w:p w:rsidR="00C933BB" w:rsidRPr="009E4CF0" w:rsidRDefault="00D12A93" w:rsidP="00B57BD2">
            <w:pPr>
              <w:pStyle w:val="TableParagraph"/>
              <w:spacing w:before="6" w:line="250" w:lineRule="exact"/>
              <w:ind w:left="690" w:right="659" w:firstLine="182"/>
              <w:jc w:val="both"/>
              <w:rPr>
                <w:rFonts w:ascii="Sylfaen" w:hAnsi="Sylfaen"/>
                <w:b/>
              </w:rPr>
            </w:pPr>
            <w:r w:rsidRPr="009E4CF0">
              <w:rPr>
                <w:rFonts w:ascii="Sylfaen" w:hAnsi="Sylfaen"/>
                <w:b/>
              </w:rPr>
              <w:t>GMT (95% CI)</w:t>
            </w:r>
          </w:p>
        </w:tc>
        <w:tc>
          <w:tcPr>
            <w:tcW w:w="2266" w:type="dxa"/>
          </w:tcPr>
          <w:p w:rsidR="00C933BB" w:rsidRPr="009E4CF0" w:rsidRDefault="00D12A93" w:rsidP="00B57BD2">
            <w:pPr>
              <w:pStyle w:val="TableParagraph"/>
              <w:spacing w:before="6" w:line="250" w:lineRule="exact"/>
              <w:ind w:left="689" w:right="660" w:firstLine="182"/>
              <w:jc w:val="both"/>
              <w:rPr>
                <w:rFonts w:ascii="Sylfaen" w:hAnsi="Sylfaen"/>
                <w:b/>
              </w:rPr>
            </w:pPr>
            <w:r w:rsidRPr="009E4CF0">
              <w:rPr>
                <w:rFonts w:ascii="Sylfaen" w:hAnsi="Sylfaen"/>
                <w:b/>
              </w:rPr>
              <w:t>GMT (95% CI)</w:t>
            </w:r>
          </w:p>
        </w:tc>
      </w:tr>
      <w:tr w:rsidR="00C933BB" w:rsidRPr="009E4CF0">
        <w:trPr>
          <w:trHeight w:val="252"/>
        </w:trPr>
        <w:tc>
          <w:tcPr>
            <w:tcW w:w="2266" w:type="dxa"/>
            <w:tcBorders>
              <w:bottom w:val="nil"/>
            </w:tcBorders>
          </w:tcPr>
          <w:p w:rsidR="00C933BB" w:rsidRPr="009E4CF0" w:rsidRDefault="00C933BB" w:rsidP="00B57BD2">
            <w:pPr>
              <w:pStyle w:val="TableParagraph"/>
              <w:ind w:left="0"/>
              <w:jc w:val="both"/>
              <w:rPr>
                <w:rFonts w:ascii="Sylfaen" w:hAnsi="Sylfaen"/>
                <w:sz w:val="18"/>
              </w:rPr>
            </w:pPr>
          </w:p>
        </w:tc>
        <w:tc>
          <w:tcPr>
            <w:tcW w:w="2266" w:type="dxa"/>
            <w:tcBorders>
              <w:bottom w:val="nil"/>
            </w:tcBorders>
          </w:tcPr>
          <w:p w:rsidR="00C933BB" w:rsidRPr="009E4CF0" w:rsidRDefault="00D12A93" w:rsidP="00B57BD2">
            <w:pPr>
              <w:pStyle w:val="TableParagraph"/>
              <w:spacing w:line="232" w:lineRule="exact"/>
              <w:ind w:right="179"/>
              <w:jc w:val="both"/>
              <w:rPr>
                <w:rFonts w:ascii="Sylfaen" w:hAnsi="Sylfaen"/>
              </w:rPr>
            </w:pPr>
            <w:r w:rsidRPr="009E4CF0">
              <w:rPr>
                <w:rFonts w:ascii="Sylfaen" w:hAnsi="Sylfaen"/>
              </w:rPr>
              <w:t>(N=882)</w:t>
            </w:r>
          </w:p>
        </w:tc>
        <w:tc>
          <w:tcPr>
            <w:tcW w:w="2266" w:type="dxa"/>
            <w:tcBorders>
              <w:bottom w:val="nil"/>
            </w:tcBorders>
          </w:tcPr>
          <w:p w:rsidR="00C933BB" w:rsidRPr="009E4CF0" w:rsidRDefault="00D12A93" w:rsidP="00B57BD2">
            <w:pPr>
              <w:pStyle w:val="TableParagraph"/>
              <w:spacing w:line="232" w:lineRule="exact"/>
              <w:ind w:right="180"/>
              <w:jc w:val="both"/>
              <w:rPr>
                <w:rFonts w:ascii="Sylfaen" w:hAnsi="Sylfaen"/>
              </w:rPr>
            </w:pPr>
            <w:r w:rsidRPr="009E4CF0">
              <w:rPr>
                <w:rFonts w:ascii="Sylfaen" w:hAnsi="Sylfaen"/>
              </w:rPr>
              <w:t>(N=817)</w:t>
            </w:r>
          </w:p>
        </w:tc>
        <w:tc>
          <w:tcPr>
            <w:tcW w:w="2266" w:type="dxa"/>
            <w:tcBorders>
              <w:bottom w:val="nil"/>
            </w:tcBorders>
          </w:tcPr>
          <w:p w:rsidR="00C933BB" w:rsidRPr="009E4CF0" w:rsidRDefault="00D12A93" w:rsidP="00B57BD2">
            <w:pPr>
              <w:pStyle w:val="TableParagraph"/>
              <w:spacing w:line="232" w:lineRule="exact"/>
              <w:ind w:left="752"/>
              <w:jc w:val="both"/>
              <w:rPr>
                <w:rFonts w:ascii="Sylfaen" w:hAnsi="Sylfaen"/>
              </w:rPr>
            </w:pPr>
            <w:r w:rsidRPr="009E4CF0">
              <w:rPr>
                <w:rFonts w:ascii="Sylfaen" w:hAnsi="Sylfaen"/>
              </w:rPr>
              <w:t>(N=819)</w:t>
            </w:r>
          </w:p>
        </w:tc>
      </w:tr>
      <w:tr w:rsidR="00C933BB" w:rsidRPr="009E4CF0">
        <w:trPr>
          <w:trHeight w:val="251"/>
        </w:trPr>
        <w:tc>
          <w:tcPr>
            <w:tcW w:w="2266" w:type="dxa"/>
            <w:tcBorders>
              <w:top w:val="nil"/>
              <w:bottom w:val="nil"/>
            </w:tcBorders>
          </w:tcPr>
          <w:p w:rsidR="00C933BB" w:rsidRPr="009E4CF0" w:rsidRDefault="00D12A93" w:rsidP="00B57BD2">
            <w:pPr>
              <w:pStyle w:val="TableParagraph"/>
              <w:spacing w:line="232" w:lineRule="exact"/>
              <w:ind w:right="177"/>
              <w:jc w:val="both"/>
              <w:rPr>
                <w:rFonts w:ascii="Sylfaen" w:hAnsi="Sylfaen"/>
              </w:rPr>
            </w:pPr>
            <w:r w:rsidRPr="009E4CF0">
              <w:rPr>
                <w:rFonts w:ascii="Sylfaen" w:hAnsi="Sylfaen"/>
              </w:rPr>
              <w:t>სულ</w:t>
            </w:r>
          </w:p>
        </w:tc>
        <w:tc>
          <w:tcPr>
            <w:tcW w:w="2266" w:type="dxa"/>
            <w:tcBorders>
              <w:top w:val="nil"/>
              <w:bottom w:val="nil"/>
            </w:tcBorders>
          </w:tcPr>
          <w:p w:rsidR="00C933BB" w:rsidRPr="009E4CF0" w:rsidRDefault="00D12A93" w:rsidP="00B57BD2">
            <w:pPr>
              <w:pStyle w:val="TableParagraph"/>
              <w:spacing w:line="232" w:lineRule="exact"/>
              <w:ind w:right="170"/>
              <w:jc w:val="both"/>
              <w:rPr>
                <w:rFonts w:ascii="Sylfaen" w:hAnsi="Sylfaen"/>
              </w:rPr>
            </w:pPr>
            <w:r w:rsidRPr="009E4CF0">
              <w:rPr>
                <w:rFonts w:ascii="Sylfaen" w:hAnsi="Sylfaen"/>
              </w:rPr>
              <w:t>57.18</w:t>
            </w:r>
          </w:p>
        </w:tc>
        <w:tc>
          <w:tcPr>
            <w:tcW w:w="2266" w:type="dxa"/>
            <w:tcBorders>
              <w:top w:val="nil"/>
              <w:bottom w:val="nil"/>
            </w:tcBorders>
          </w:tcPr>
          <w:p w:rsidR="00C933BB" w:rsidRPr="009E4CF0" w:rsidRDefault="00D12A93" w:rsidP="00B57BD2">
            <w:pPr>
              <w:pStyle w:val="TableParagraph"/>
              <w:spacing w:line="232" w:lineRule="exact"/>
              <w:ind w:right="171"/>
              <w:jc w:val="both"/>
              <w:rPr>
                <w:rFonts w:ascii="Sylfaen" w:hAnsi="Sylfaen"/>
              </w:rPr>
            </w:pPr>
            <w:r w:rsidRPr="009E4CF0">
              <w:rPr>
                <w:rFonts w:ascii="Sylfaen" w:hAnsi="Sylfaen"/>
              </w:rPr>
              <w:t>8386.46</w:t>
            </w:r>
          </w:p>
        </w:tc>
        <w:tc>
          <w:tcPr>
            <w:tcW w:w="2266" w:type="dxa"/>
            <w:tcBorders>
              <w:top w:val="nil"/>
              <w:bottom w:val="nil"/>
            </w:tcBorders>
          </w:tcPr>
          <w:p w:rsidR="00C933BB" w:rsidRPr="009E4CF0" w:rsidRDefault="00D12A93" w:rsidP="00B57BD2">
            <w:pPr>
              <w:pStyle w:val="TableParagraph"/>
              <w:spacing w:line="232" w:lineRule="exact"/>
              <w:ind w:left="718"/>
              <w:jc w:val="both"/>
              <w:rPr>
                <w:rFonts w:ascii="Sylfaen" w:hAnsi="Sylfaen"/>
              </w:rPr>
            </w:pPr>
            <w:r w:rsidRPr="009E4CF0">
              <w:rPr>
                <w:rFonts w:ascii="Sylfaen" w:hAnsi="Sylfaen"/>
              </w:rPr>
              <w:t>29034.74</w:t>
            </w:r>
          </w:p>
        </w:tc>
      </w:tr>
      <w:tr w:rsidR="00C933BB" w:rsidRPr="009E4CF0">
        <w:trPr>
          <w:trHeight w:val="251"/>
        </w:trPr>
        <w:tc>
          <w:tcPr>
            <w:tcW w:w="2266" w:type="dxa"/>
            <w:tcBorders>
              <w:top w:val="nil"/>
            </w:tcBorders>
          </w:tcPr>
          <w:p w:rsidR="00C933BB" w:rsidRPr="009E4CF0" w:rsidRDefault="00C933BB" w:rsidP="00B57BD2">
            <w:pPr>
              <w:pStyle w:val="TableParagraph"/>
              <w:ind w:left="0"/>
              <w:jc w:val="both"/>
              <w:rPr>
                <w:rFonts w:ascii="Sylfaen" w:hAnsi="Sylfaen"/>
                <w:sz w:val="18"/>
              </w:rPr>
            </w:pPr>
          </w:p>
        </w:tc>
        <w:tc>
          <w:tcPr>
            <w:tcW w:w="2266" w:type="dxa"/>
            <w:tcBorders>
              <w:top w:val="nil"/>
            </w:tcBorders>
          </w:tcPr>
          <w:p w:rsidR="00C933BB" w:rsidRPr="009E4CF0" w:rsidRDefault="00D12A93" w:rsidP="00B57BD2">
            <w:pPr>
              <w:pStyle w:val="TableParagraph"/>
              <w:spacing w:line="232" w:lineRule="exact"/>
              <w:ind w:right="174"/>
              <w:jc w:val="both"/>
              <w:rPr>
                <w:rFonts w:ascii="Sylfaen" w:hAnsi="Sylfaen"/>
              </w:rPr>
            </w:pPr>
            <w:r w:rsidRPr="009E4CF0">
              <w:rPr>
                <w:rFonts w:ascii="Sylfaen" w:hAnsi="Sylfaen"/>
              </w:rPr>
              <w:t>(52.8, 62.0)</w:t>
            </w:r>
          </w:p>
        </w:tc>
        <w:tc>
          <w:tcPr>
            <w:tcW w:w="2266" w:type="dxa"/>
            <w:tcBorders>
              <w:top w:val="nil"/>
            </w:tcBorders>
          </w:tcPr>
          <w:p w:rsidR="00C933BB" w:rsidRPr="009E4CF0" w:rsidRDefault="00D12A93" w:rsidP="00B57BD2">
            <w:pPr>
              <w:pStyle w:val="TableParagraph"/>
              <w:spacing w:line="232" w:lineRule="exact"/>
              <w:ind w:right="170"/>
              <w:jc w:val="both"/>
              <w:rPr>
                <w:rFonts w:ascii="Sylfaen" w:hAnsi="Sylfaen"/>
              </w:rPr>
            </w:pPr>
            <w:r w:rsidRPr="009E4CF0">
              <w:rPr>
                <w:rFonts w:ascii="Sylfaen" w:hAnsi="Sylfaen"/>
              </w:rPr>
              <w:t>(7758.6, 9065.1)</w:t>
            </w:r>
          </w:p>
        </w:tc>
        <w:tc>
          <w:tcPr>
            <w:tcW w:w="2266" w:type="dxa"/>
            <w:tcBorders>
              <w:top w:val="nil"/>
            </w:tcBorders>
          </w:tcPr>
          <w:p w:rsidR="00C933BB" w:rsidRPr="009E4CF0" w:rsidRDefault="00D12A93" w:rsidP="00B57BD2">
            <w:pPr>
              <w:pStyle w:val="TableParagraph"/>
              <w:spacing w:line="232" w:lineRule="exact"/>
              <w:ind w:left="0" w:right="271"/>
              <w:jc w:val="both"/>
              <w:rPr>
                <w:rFonts w:ascii="Sylfaen" w:hAnsi="Sylfaen"/>
              </w:rPr>
            </w:pPr>
            <w:r w:rsidRPr="009E4CF0">
              <w:rPr>
                <w:rFonts w:ascii="Sylfaen" w:hAnsi="Sylfaen"/>
              </w:rPr>
              <w:t>(27118.2, 31086.7)</w:t>
            </w:r>
          </w:p>
        </w:tc>
      </w:tr>
      <w:tr w:rsidR="00C933BB" w:rsidRPr="009E4CF0">
        <w:trPr>
          <w:trHeight w:val="253"/>
        </w:trPr>
        <w:tc>
          <w:tcPr>
            <w:tcW w:w="9064" w:type="dxa"/>
            <w:gridSpan w:val="4"/>
          </w:tcPr>
          <w:p w:rsidR="00C933BB" w:rsidRPr="009E4CF0" w:rsidRDefault="00D12A93" w:rsidP="00B57BD2">
            <w:pPr>
              <w:pStyle w:val="TableParagraph"/>
              <w:spacing w:before="1" w:line="233" w:lineRule="exact"/>
              <w:ind w:left="110"/>
              <w:jc w:val="both"/>
              <w:rPr>
                <w:rFonts w:ascii="Sylfaen" w:hAnsi="Sylfaen"/>
                <w:b/>
                <w:i/>
              </w:rPr>
            </w:pPr>
            <w:r w:rsidRPr="009E4CF0">
              <w:rPr>
                <w:rFonts w:ascii="Sylfaen" w:hAnsi="Sylfaen"/>
                <w:b/>
                <w:i/>
              </w:rPr>
              <w:t>დოზებს შორის ინტერვალი</w:t>
            </w:r>
          </w:p>
        </w:tc>
      </w:tr>
      <w:tr w:rsidR="00C933BB" w:rsidRPr="009E4CF0">
        <w:trPr>
          <w:trHeight w:val="254"/>
        </w:trPr>
        <w:tc>
          <w:tcPr>
            <w:tcW w:w="2266" w:type="dxa"/>
            <w:tcBorders>
              <w:bottom w:val="nil"/>
            </w:tcBorders>
          </w:tcPr>
          <w:p w:rsidR="00C933BB" w:rsidRPr="009E4CF0" w:rsidRDefault="00C933BB" w:rsidP="00B57BD2">
            <w:pPr>
              <w:pStyle w:val="TableParagraph"/>
              <w:ind w:left="0"/>
              <w:jc w:val="both"/>
              <w:rPr>
                <w:rFonts w:ascii="Sylfaen" w:hAnsi="Sylfaen"/>
                <w:sz w:val="18"/>
              </w:rPr>
            </w:pPr>
          </w:p>
        </w:tc>
        <w:tc>
          <w:tcPr>
            <w:tcW w:w="2266" w:type="dxa"/>
            <w:tcBorders>
              <w:bottom w:val="nil"/>
            </w:tcBorders>
          </w:tcPr>
          <w:p w:rsidR="00C933BB" w:rsidRPr="009E4CF0" w:rsidRDefault="00D12A93" w:rsidP="00B57BD2">
            <w:pPr>
              <w:pStyle w:val="TableParagraph"/>
              <w:spacing w:line="234" w:lineRule="exact"/>
              <w:ind w:right="179"/>
              <w:jc w:val="both"/>
              <w:rPr>
                <w:rFonts w:ascii="Sylfaen" w:hAnsi="Sylfaen"/>
              </w:rPr>
            </w:pPr>
            <w:r w:rsidRPr="009E4CF0">
              <w:rPr>
                <w:rFonts w:ascii="Sylfaen" w:hAnsi="Sylfaen"/>
              </w:rPr>
              <w:t>(N=481)</w:t>
            </w:r>
          </w:p>
        </w:tc>
        <w:tc>
          <w:tcPr>
            <w:tcW w:w="2266" w:type="dxa"/>
            <w:tcBorders>
              <w:bottom w:val="nil"/>
            </w:tcBorders>
          </w:tcPr>
          <w:p w:rsidR="00C933BB" w:rsidRPr="009E4CF0" w:rsidRDefault="00D12A93" w:rsidP="00B57BD2">
            <w:pPr>
              <w:pStyle w:val="TableParagraph"/>
              <w:spacing w:line="234" w:lineRule="exact"/>
              <w:ind w:right="180"/>
              <w:jc w:val="both"/>
              <w:rPr>
                <w:rFonts w:ascii="Sylfaen" w:hAnsi="Sylfaen"/>
              </w:rPr>
            </w:pPr>
            <w:r w:rsidRPr="009E4CF0">
              <w:rPr>
                <w:rFonts w:ascii="Sylfaen" w:hAnsi="Sylfaen"/>
              </w:rPr>
              <w:t>(N=479)</w:t>
            </w:r>
          </w:p>
        </w:tc>
        <w:tc>
          <w:tcPr>
            <w:tcW w:w="2266" w:type="dxa"/>
            <w:tcBorders>
              <w:bottom w:val="nil"/>
            </w:tcBorders>
          </w:tcPr>
          <w:p w:rsidR="00C933BB" w:rsidRPr="009E4CF0" w:rsidRDefault="00D12A93" w:rsidP="00B57BD2">
            <w:pPr>
              <w:pStyle w:val="TableParagraph"/>
              <w:spacing w:line="234" w:lineRule="exact"/>
              <w:ind w:left="752"/>
              <w:jc w:val="both"/>
              <w:rPr>
                <w:rFonts w:ascii="Sylfaen" w:hAnsi="Sylfaen"/>
              </w:rPr>
            </w:pPr>
            <w:r w:rsidRPr="009E4CF0">
              <w:rPr>
                <w:rFonts w:ascii="Sylfaen" w:hAnsi="Sylfaen"/>
              </w:rPr>
              <w:t>(N=443)</w:t>
            </w:r>
          </w:p>
        </w:tc>
      </w:tr>
      <w:tr w:rsidR="00C933BB" w:rsidRPr="009E4CF0">
        <w:trPr>
          <w:trHeight w:val="252"/>
        </w:trPr>
        <w:tc>
          <w:tcPr>
            <w:tcW w:w="2266" w:type="dxa"/>
            <w:tcBorders>
              <w:top w:val="nil"/>
              <w:bottom w:val="nil"/>
            </w:tcBorders>
          </w:tcPr>
          <w:p w:rsidR="00C933BB" w:rsidRPr="009E4CF0" w:rsidRDefault="00D12A93" w:rsidP="00B57BD2">
            <w:pPr>
              <w:pStyle w:val="TableParagraph"/>
              <w:spacing w:line="232" w:lineRule="exact"/>
              <w:ind w:right="181"/>
              <w:jc w:val="both"/>
              <w:rPr>
                <w:rFonts w:ascii="Sylfaen" w:hAnsi="Sylfaen"/>
              </w:rPr>
            </w:pPr>
            <w:r w:rsidRPr="009E4CF0">
              <w:rPr>
                <w:rFonts w:ascii="Sylfaen" w:hAnsi="Sylfaen"/>
              </w:rPr>
              <w:t>&lt;6 კვირა</w:t>
            </w:r>
          </w:p>
        </w:tc>
        <w:tc>
          <w:tcPr>
            <w:tcW w:w="2266" w:type="dxa"/>
            <w:tcBorders>
              <w:top w:val="nil"/>
              <w:bottom w:val="nil"/>
            </w:tcBorders>
          </w:tcPr>
          <w:p w:rsidR="00C933BB" w:rsidRPr="009E4CF0" w:rsidRDefault="00D12A93" w:rsidP="00B57BD2">
            <w:pPr>
              <w:pStyle w:val="TableParagraph"/>
              <w:spacing w:line="232" w:lineRule="exact"/>
              <w:ind w:right="170"/>
              <w:jc w:val="both"/>
              <w:rPr>
                <w:rFonts w:ascii="Sylfaen" w:hAnsi="Sylfaen"/>
              </w:rPr>
            </w:pPr>
            <w:r w:rsidRPr="009E4CF0">
              <w:rPr>
                <w:rFonts w:ascii="Sylfaen" w:hAnsi="Sylfaen"/>
              </w:rPr>
              <w:t>60.51</w:t>
            </w:r>
          </w:p>
        </w:tc>
        <w:tc>
          <w:tcPr>
            <w:tcW w:w="2266" w:type="dxa"/>
            <w:tcBorders>
              <w:top w:val="nil"/>
              <w:bottom w:val="nil"/>
            </w:tcBorders>
          </w:tcPr>
          <w:p w:rsidR="00C933BB" w:rsidRPr="009E4CF0" w:rsidRDefault="00D12A93" w:rsidP="00B57BD2">
            <w:pPr>
              <w:pStyle w:val="TableParagraph"/>
              <w:spacing w:line="232" w:lineRule="exact"/>
              <w:ind w:right="171"/>
              <w:jc w:val="both"/>
              <w:rPr>
                <w:rFonts w:ascii="Sylfaen" w:hAnsi="Sylfaen"/>
              </w:rPr>
            </w:pPr>
            <w:r w:rsidRPr="009E4CF0">
              <w:rPr>
                <w:rFonts w:ascii="Sylfaen" w:hAnsi="Sylfaen"/>
              </w:rPr>
              <w:t>8734.08</w:t>
            </w:r>
          </w:p>
        </w:tc>
        <w:tc>
          <w:tcPr>
            <w:tcW w:w="2266" w:type="dxa"/>
            <w:tcBorders>
              <w:top w:val="nil"/>
              <w:bottom w:val="nil"/>
            </w:tcBorders>
          </w:tcPr>
          <w:p w:rsidR="00C933BB" w:rsidRPr="009E4CF0" w:rsidRDefault="00D12A93" w:rsidP="00B57BD2">
            <w:pPr>
              <w:pStyle w:val="TableParagraph"/>
              <w:spacing w:line="232" w:lineRule="exact"/>
              <w:ind w:left="718"/>
              <w:jc w:val="both"/>
              <w:rPr>
                <w:rFonts w:ascii="Sylfaen" w:hAnsi="Sylfaen"/>
              </w:rPr>
            </w:pPr>
            <w:r w:rsidRPr="009E4CF0">
              <w:rPr>
                <w:rFonts w:ascii="Sylfaen" w:hAnsi="Sylfaen"/>
              </w:rPr>
              <w:t>22222.73</w:t>
            </w:r>
          </w:p>
        </w:tc>
      </w:tr>
      <w:tr w:rsidR="00C933BB" w:rsidRPr="009E4CF0">
        <w:trPr>
          <w:trHeight w:val="251"/>
        </w:trPr>
        <w:tc>
          <w:tcPr>
            <w:tcW w:w="2266" w:type="dxa"/>
            <w:tcBorders>
              <w:top w:val="nil"/>
            </w:tcBorders>
          </w:tcPr>
          <w:p w:rsidR="00C933BB" w:rsidRPr="009E4CF0" w:rsidRDefault="00C933BB" w:rsidP="00B57BD2">
            <w:pPr>
              <w:pStyle w:val="TableParagraph"/>
              <w:ind w:left="0"/>
              <w:jc w:val="both"/>
              <w:rPr>
                <w:rFonts w:ascii="Sylfaen" w:hAnsi="Sylfaen"/>
                <w:sz w:val="18"/>
              </w:rPr>
            </w:pPr>
          </w:p>
        </w:tc>
        <w:tc>
          <w:tcPr>
            <w:tcW w:w="2266" w:type="dxa"/>
            <w:tcBorders>
              <w:top w:val="nil"/>
            </w:tcBorders>
          </w:tcPr>
          <w:p w:rsidR="00C933BB" w:rsidRPr="009E4CF0" w:rsidRDefault="00D12A93" w:rsidP="00B57BD2">
            <w:pPr>
              <w:pStyle w:val="TableParagraph"/>
              <w:spacing w:line="232" w:lineRule="exact"/>
              <w:ind w:right="174"/>
              <w:jc w:val="both"/>
              <w:rPr>
                <w:rFonts w:ascii="Sylfaen" w:hAnsi="Sylfaen"/>
              </w:rPr>
            </w:pPr>
            <w:r w:rsidRPr="009E4CF0">
              <w:rPr>
                <w:rFonts w:ascii="Sylfaen" w:hAnsi="Sylfaen"/>
              </w:rPr>
              <w:t>(54.1, 67.7)</w:t>
            </w:r>
          </w:p>
        </w:tc>
        <w:tc>
          <w:tcPr>
            <w:tcW w:w="2266" w:type="dxa"/>
            <w:tcBorders>
              <w:top w:val="nil"/>
            </w:tcBorders>
          </w:tcPr>
          <w:p w:rsidR="00C933BB" w:rsidRPr="009E4CF0" w:rsidRDefault="00D12A93" w:rsidP="00B57BD2">
            <w:pPr>
              <w:pStyle w:val="TableParagraph"/>
              <w:spacing w:line="232" w:lineRule="exact"/>
              <w:ind w:right="170"/>
              <w:jc w:val="both"/>
              <w:rPr>
                <w:rFonts w:ascii="Sylfaen" w:hAnsi="Sylfaen"/>
              </w:rPr>
            </w:pPr>
            <w:r w:rsidRPr="009E4CF0">
              <w:rPr>
                <w:rFonts w:ascii="Sylfaen" w:hAnsi="Sylfaen"/>
              </w:rPr>
              <w:t>(7883.1, 9676.9)</w:t>
            </w:r>
          </w:p>
        </w:tc>
        <w:tc>
          <w:tcPr>
            <w:tcW w:w="2266" w:type="dxa"/>
            <w:tcBorders>
              <w:top w:val="nil"/>
            </w:tcBorders>
          </w:tcPr>
          <w:p w:rsidR="00C933BB" w:rsidRPr="009E4CF0" w:rsidRDefault="00D12A93" w:rsidP="00B57BD2">
            <w:pPr>
              <w:pStyle w:val="TableParagraph"/>
              <w:spacing w:line="232" w:lineRule="exact"/>
              <w:ind w:left="0" w:right="218"/>
              <w:jc w:val="both"/>
              <w:rPr>
                <w:rFonts w:ascii="Sylfaen" w:hAnsi="Sylfaen"/>
              </w:rPr>
            </w:pPr>
            <w:r w:rsidRPr="009E4CF0">
              <w:rPr>
                <w:rFonts w:ascii="Sylfaen" w:hAnsi="Sylfaen"/>
              </w:rPr>
              <w:t>(20360.50, 24255.3)</w:t>
            </w:r>
          </w:p>
        </w:tc>
      </w:tr>
      <w:tr w:rsidR="00C933BB" w:rsidRPr="009E4CF0">
        <w:trPr>
          <w:trHeight w:val="254"/>
        </w:trPr>
        <w:tc>
          <w:tcPr>
            <w:tcW w:w="2266" w:type="dxa"/>
            <w:tcBorders>
              <w:bottom w:val="nil"/>
            </w:tcBorders>
          </w:tcPr>
          <w:p w:rsidR="00C933BB" w:rsidRPr="009E4CF0" w:rsidRDefault="00C933BB" w:rsidP="00B57BD2">
            <w:pPr>
              <w:pStyle w:val="TableParagraph"/>
              <w:ind w:left="0"/>
              <w:jc w:val="both"/>
              <w:rPr>
                <w:rFonts w:ascii="Sylfaen" w:hAnsi="Sylfaen"/>
                <w:sz w:val="18"/>
              </w:rPr>
            </w:pPr>
          </w:p>
        </w:tc>
        <w:tc>
          <w:tcPr>
            <w:tcW w:w="2266" w:type="dxa"/>
            <w:tcBorders>
              <w:bottom w:val="nil"/>
            </w:tcBorders>
          </w:tcPr>
          <w:p w:rsidR="00C933BB" w:rsidRPr="009E4CF0" w:rsidRDefault="00D12A93" w:rsidP="00B57BD2">
            <w:pPr>
              <w:pStyle w:val="TableParagraph"/>
              <w:spacing w:line="234" w:lineRule="exact"/>
              <w:ind w:right="179"/>
              <w:jc w:val="both"/>
              <w:rPr>
                <w:rFonts w:ascii="Sylfaen" w:hAnsi="Sylfaen"/>
              </w:rPr>
            </w:pPr>
            <w:r w:rsidRPr="009E4CF0">
              <w:rPr>
                <w:rFonts w:ascii="Sylfaen" w:hAnsi="Sylfaen"/>
              </w:rPr>
              <w:t>(N=137)</w:t>
            </w:r>
          </w:p>
        </w:tc>
        <w:tc>
          <w:tcPr>
            <w:tcW w:w="2266" w:type="dxa"/>
            <w:tcBorders>
              <w:bottom w:val="nil"/>
            </w:tcBorders>
          </w:tcPr>
          <w:p w:rsidR="00C933BB" w:rsidRPr="009E4CF0" w:rsidRDefault="00D12A93" w:rsidP="00B57BD2">
            <w:pPr>
              <w:pStyle w:val="TableParagraph"/>
              <w:spacing w:line="234" w:lineRule="exact"/>
              <w:ind w:right="175"/>
              <w:jc w:val="both"/>
              <w:rPr>
                <w:rFonts w:ascii="Sylfaen" w:hAnsi="Sylfaen"/>
              </w:rPr>
            </w:pPr>
            <w:r w:rsidRPr="009E4CF0">
              <w:rPr>
                <w:rFonts w:ascii="Sylfaen" w:hAnsi="Sylfaen"/>
              </w:rPr>
              <w:t>(N=99)</w:t>
            </w:r>
          </w:p>
        </w:tc>
        <w:tc>
          <w:tcPr>
            <w:tcW w:w="2266" w:type="dxa"/>
            <w:tcBorders>
              <w:bottom w:val="nil"/>
            </w:tcBorders>
          </w:tcPr>
          <w:p w:rsidR="00C933BB" w:rsidRPr="009E4CF0" w:rsidRDefault="00D12A93" w:rsidP="00B57BD2">
            <w:pPr>
              <w:pStyle w:val="TableParagraph"/>
              <w:spacing w:line="234" w:lineRule="exact"/>
              <w:ind w:left="752"/>
              <w:jc w:val="both"/>
              <w:rPr>
                <w:rFonts w:ascii="Sylfaen" w:hAnsi="Sylfaen"/>
              </w:rPr>
            </w:pPr>
            <w:r w:rsidRPr="009E4CF0">
              <w:rPr>
                <w:rFonts w:ascii="Sylfaen" w:hAnsi="Sylfaen"/>
              </w:rPr>
              <w:t>(N=116)</w:t>
            </w:r>
          </w:p>
        </w:tc>
      </w:tr>
      <w:tr w:rsidR="00C933BB" w:rsidRPr="009E4CF0">
        <w:trPr>
          <w:trHeight w:val="254"/>
        </w:trPr>
        <w:tc>
          <w:tcPr>
            <w:tcW w:w="2266" w:type="dxa"/>
            <w:tcBorders>
              <w:top w:val="nil"/>
              <w:bottom w:val="nil"/>
            </w:tcBorders>
          </w:tcPr>
          <w:p w:rsidR="00C933BB" w:rsidRPr="009E4CF0" w:rsidRDefault="00D12A93" w:rsidP="00B57BD2">
            <w:pPr>
              <w:pStyle w:val="TableParagraph"/>
              <w:spacing w:line="234" w:lineRule="exact"/>
              <w:ind w:right="181"/>
              <w:jc w:val="both"/>
              <w:rPr>
                <w:rFonts w:ascii="Sylfaen" w:hAnsi="Sylfaen"/>
              </w:rPr>
            </w:pPr>
            <w:r w:rsidRPr="009E4CF0">
              <w:rPr>
                <w:rFonts w:ascii="Sylfaen" w:hAnsi="Sylfaen"/>
              </w:rPr>
              <w:t>6-8კვირა</w:t>
            </w:r>
          </w:p>
        </w:tc>
        <w:tc>
          <w:tcPr>
            <w:tcW w:w="2266" w:type="dxa"/>
            <w:tcBorders>
              <w:top w:val="nil"/>
              <w:bottom w:val="nil"/>
            </w:tcBorders>
          </w:tcPr>
          <w:p w:rsidR="00C933BB" w:rsidRPr="009E4CF0" w:rsidRDefault="00D12A93" w:rsidP="00B57BD2">
            <w:pPr>
              <w:pStyle w:val="TableParagraph"/>
              <w:spacing w:line="234" w:lineRule="exact"/>
              <w:ind w:right="170"/>
              <w:jc w:val="both"/>
              <w:rPr>
                <w:rFonts w:ascii="Sylfaen" w:hAnsi="Sylfaen"/>
              </w:rPr>
            </w:pPr>
            <w:r w:rsidRPr="009E4CF0">
              <w:rPr>
                <w:rFonts w:ascii="Sylfaen" w:hAnsi="Sylfaen"/>
              </w:rPr>
              <w:t>58.02</w:t>
            </w:r>
          </w:p>
        </w:tc>
        <w:tc>
          <w:tcPr>
            <w:tcW w:w="2266" w:type="dxa"/>
            <w:tcBorders>
              <w:top w:val="nil"/>
              <w:bottom w:val="nil"/>
            </w:tcBorders>
          </w:tcPr>
          <w:p w:rsidR="00C933BB" w:rsidRPr="009E4CF0" w:rsidRDefault="00D12A93" w:rsidP="00B57BD2">
            <w:pPr>
              <w:pStyle w:val="TableParagraph"/>
              <w:spacing w:line="234" w:lineRule="exact"/>
              <w:ind w:right="171"/>
              <w:jc w:val="both"/>
              <w:rPr>
                <w:rFonts w:ascii="Sylfaen" w:hAnsi="Sylfaen"/>
              </w:rPr>
            </w:pPr>
            <w:r w:rsidRPr="009E4CF0">
              <w:rPr>
                <w:rFonts w:ascii="Sylfaen" w:hAnsi="Sylfaen"/>
              </w:rPr>
              <w:t>7295.54</w:t>
            </w:r>
          </w:p>
        </w:tc>
        <w:tc>
          <w:tcPr>
            <w:tcW w:w="2266" w:type="dxa"/>
            <w:tcBorders>
              <w:top w:val="nil"/>
              <w:bottom w:val="nil"/>
            </w:tcBorders>
          </w:tcPr>
          <w:p w:rsidR="00C933BB" w:rsidRPr="009E4CF0" w:rsidRDefault="00D12A93" w:rsidP="00B57BD2">
            <w:pPr>
              <w:pStyle w:val="TableParagraph"/>
              <w:spacing w:line="234" w:lineRule="exact"/>
              <w:ind w:left="718"/>
              <w:jc w:val="both"/>
              <w:rPr>
                <w:rFonts w:ascii="Sylfaen" w:hAnsi="Sylfaen"/>
              </w:rPr>
            </w:pPr>
            <w:r w:rsidRPr="009E4CF0">
              <w:rPr>
                <w:rFonts w:ascii="Sylfaen" w:hAnsi="Sylfaen"/>
              </w:rPr>
              <w:t>24363.10</w:t>
            </w:r>
          </w:p>
        </w:tc>
      </w:tr>
      <w:tr w:rsidR="00C933BB" w:rsidRPr="009E4CF0">
        <w:trPr>
          <w:trHeight w:val="254"/>
        </w:trPr>
        <w:tc>
          <w:tcPr>
            <w:tcW w:w="2266" w:type="dxa"/>
            <w:tcBorders>
              <w:top w:val="nil"/>
            </w:tcBorders>
          </w:tcPr>
          <w:p w:rsidR="00C933BB" w:rsidRPr="009E4CF0" w:rsidRDefault="00C933BB" w:rsidP="00B57BD2">
            <w:pPr>
              <w:pStyle w:val="TableParagraph"/>
              <w:ind w:left="0"/>
              <w:jc w:val="both"/>
              <w:rPr>
                <w:rFonts w:ascii="Sylfaen" w:hAnsi="Sylfaen"/>
                <w:sz w:val="18"/>
              </w:rPr>
            </w:pPr>
          </w:p>
        </w:tc>
        <w:tc>
          <w:tcPr>
            <w:tcW w:w="2266" w:type="dxa"/>
            <w:tcBorders>
              <w:top w:val="nil"/>
            </w:tcBorders>
          </w:tcPr>
          <w:p w:rsidR="00C933BB" w:rsidRPr="009E4CF0" w:rsidRDefault="00D12A93" w:rsidP="00B57BD2">
            <w:pPr>
              <w:pStyle w:val="TableParagraph"/>
              <w:spacing w:line="234" w:lineRule="exact"/>
              <w:ind w:right="174"/>
              <w:jc w:val="both"/>
              <w:rPr>
                <w:rFonts w:ascii="Sylfaen" w:hAnsi="Sylfaen"/>
              </w:rPr>
            </w:pPr>
            <w:r w:rsidRPr="009E4CF0">
              <w:rPr>
                <w:rFonts w:ascii="Sylfaen" w:hAnsi="Sylfaen"/>
              </w:rPr>
              <w:t>(46.3, 72.6)</w:t>
            </w:r>
          </w:p>
        </w:tc>
        <w:tc>
          <w:tcPr>
            <w:tcW w:w="2266" w:type="dxa"/>
            <w:tcBorders>
              <w:top w:val="nil"/>
            </w:tcBorders>
          </w:tcPr>
          <w:p w:rsidR="00C933BB" w:rsidRPr="009E4CF0" w:rsidRDefault="00D12A93" w:rsidP="00B57BD2">
            <w:pPr>
              <w:pStyle w:val="TableParagraph"/>
              <w:spacing w:line="234" w:lineRule="exact"/>
              <w:ind w:right="170"/>
              <w:jc w:val="both"/>
              <w:rPr>
                <w:rFonts w:ascii="Sylfaen" w:hAnsi="Sylfaen"/>
              </w:rPr>
            </w:pPr>
            <w:r w:rsidRPr="009E4CF0">
              <w:rPr>
                <w:rFonts w:ascii="Sylfaen" w:hAnsi="Sylfaen"/>
              </w:rPr>
              <w:t>(5857.4, 9086.7)</w:t>
            </w:r>
          </w:p>
        </w:tc>
        <w:tc>
          <w:tcPr>
            <w:tcW w:w="2266" w:type="dxa"/>
            <w:tcBorders>
              <w:top w:val="nil"/>
            </w:tcBorders>
          </w:tcPr>
          <w:p w:rsidR="00C933BB" w:rsidRPr="009E4CF0" w:rsidRDefault="00D12A93" w:rsidP="00B57BD2">
            <w:pPr>
              <w:pStyle w:val="TableParagraph"/>
              <w:spacing w:line="234" w:lineRule="exact"/>
              <w:ind w:left="0" w:right="271"/>
              <w:jc w:val="both"/>
              <w:rPr>
                <w:rFonts w:ascii="Sylfaen" w:hAnsi="Sylfaen"/>
              </w:rPr>
            </w:pPr>
            <w:r w:rsidRPr="009E4CF0">
              <w:rPr>
                <w:rFonts w:ascii="Sylfaen" w:hAnsi="Sylfaen"/>
              </w:rPr>
              <w:t>(20088.5, 29547.3)</w:t>
            </w:r>
          </w:p>
        </w:tc>
      </w:tr>
      <w:tr w:rsidR="00C933BB" w:rsidRPr="009E4CF0">
        <w:trPr>
          <w:trHeight w:val="249"/>
        </w:trPr>
        <w:tc>
          <w:tcPr>
            <w:tcW w:w="2266" w:type="dxa"/>
            <w:tcBorders>
              <w:bottom w:val="nil"/>
            </w:tcBorders>
          </w:tcPr>
          <w:p w:rsidR="00C933BB" w:rsidRPr="009E4CF0" w:rsidRDefault="00C933BB" w:rsidP="00B57BD2">
            <w:pPr>
              <w:pStyle w:val="TableParagraph"/>
              <w:ind w:left="0"/>
              <w:jc w:val="both"/>
              <w:rPr>
                <w:rFonts w:ascii="Sylfaen" w:hAnsi="Sylfaen"/>
                <w:sz w:val="18"/>
              </w:rPr>
            </w:pPr>
          </w:p>
        </w:tc>
        <w:tc>
          <w:tcPr>
            <w:tcW w:w="2266" w:type="dxa"/>
            <w:tcBorders>
              <w:bottom w:val="nil"/>
            </w:tcBorders>
          </w:tcPr>
          <w:p w:rsidR="00C933BB" w:rsidRPr="009E4CF0" w:rsidRDefault="00D12A93" w:rsidP="00B57BD2">
            <w:pPr>
              <w:pStyle w:val="TableParagraph"/>
              <w:spacing w:line="229" w:lineRule="exact"/>
              <w:ind w:right="179"/>
              <w:jc w:val="both"/>
              <w:rPr>
                <w:rFonts w:ascii="Sylfaen" w:hAnsi="Sylfaen"/>
              </w:rPr>
            </w:pPr>
            <w:r w:rsidRPr="009E4CF0">
              <w:rPr>
                <w:rFonts w:ascii="Sylfaen" w:hAnsi="Sylfaen"/>
              </w:rPr>
              <w:t>(N=110)</w:t>
            </w:r>
          </w:p>
        </w:tc>
        <w:tc>
          <w:tcPr>
            <w:tcW w:w="2266" w:type="dxa"/>
            <w:tcBorders>
              <w:bottom w:val="nil"/>
            </w:tcBorders>
          </w:tcPr>
          <w:p w:rsidR="00C933BB" w:rsidRPr="009E4CF0" w:rsidRDefault="00D12A93" w:rsidP="00B57BD2">
            <w:pPr>
              <w:pStyle w:val="TableParagraph"/>
              <w:spacing w:line="229" w:lineRule="exact"/>
              <w:ind w:right="175"/>
              <w:jc w:val="both"/>
              <w:rPr>
                <w:rFonts w:ascii="Sylfaen" w:hAnsi="Sylfaen"/>
              </w:rPr>
            </w:pPr>
            <w:r w:rsidRPr="009E4CF0">
              <w:rPr>
                <w:rFonts w:ascii="Sylfaen" w:hAnsi="Sylfaen"/>
              </w:rPr>
              <w:t>(N=87)</w:t>
            </w:r>
          </w:p>
        </w:tc>
        <w:tc>
          <w:tcPr>
            <w:tcW w:w="2266" w:type="dxa"/>
            <w:tcBorders>
              <w:bottom w:val="nil"/>
            </w:tcBorders>
          </w:tcPr>
          <w:p w:rsidR="00C933BB" w:rsidRPr="009E4CF0" w:rsidRDefault="00D12A93" w:rsidP="00B57BD2">
            <w:pPr>
              <w:pStyle w:val="TableParagraph"/>
              <w:spacing w:line="229" w:lineRule="exact"/>
              <w:ind w:left="752"/>
              <w:jc w:val="both"/>
              <w:rPr>
                <w:rFonts w:ascii="Sylfaen" w:hAnsi="Sylfaen"/>
              </w:rPr>
            </w:pPr>
            <w:r w:rsidRPr="009E4CF0">
              <w:rPr>
                <w:rFonts w:ascii="Sylfaen" w:hAnsi="Sylfaen"/>
              </w:rPr>
              <w:t>(N=106)</w:t>
            </w:r>
          </w:p>
        </w:tc>
      </w:tr>
      <w:tr w:rsidR="00C933BB" w:rsidRPr="009E4CF0">
        <w:trPr>
          <w:trHeight w:val="254"/>
        </w:trPr>
        <w:tc>
          <w:tcPr>
            <w:tcW w:w="2266" w:type="dxa"/>
            <w:tcBorders>
              <w:top w:val="nil"/>
              <w:bottom w:val="nil"/>
            </w:tcBorders>
          </w:tcPr>
          <w:p w:rsidR="00C933BB" w:rsidRPr="009E4CF0" w:rsidRDefault="00D12A93" w:rsidP="00B57BD2">
            <w:pPr>
              <w:pStyle w:val="TableParagraph"/>
              <w:spacing w:line="234" w:lineRule="exact"/>
              <w:ind w:left="183" w:right="181"/>
              <w:jc w:val="both"/>
              <w:rPr>
                <w:rFonts w:ascii="Sylfaen" w:hAnsi="Sylfaen"/>
              </w:rPr>
            </w:pPr>
            <w:r w:rsidRPr="009E4CF0">
              <w:rPr>
                <w:rFonts w:ascii="Sylfaen" w:hAnsi="Sylfaen"/>
              </w:rPr>
              <w:t>9-11 კვირა</w:t>
            </w:r>
          </w:p>
        </w:tc>
        <w:tc>
          <w:tcPr>
            <w:tcW w:w="2266" w:type="dxa"/>
            <w:tcBorders>
              <w:top w:val="nil"/>
              <w:bottom w:val="nil"/>
            </w:tcBorders>
          </w:tcPr>
          <w:p w:rsidR="00C933BB" w:rsidRPr="009E4CF0" w:rsidRDefault="00D12A93" w:rsidP="00B57BD2">
            <w:pPr>
              <w:pStyle w:val="TableParagraph"/>
              <w:spacing w:line="234" w:lineRule="exact"/>
              <w:ind w:right="170"/>
              <w:jc w:val="both"/>
              <w:rPr>
                <w:rFonts w:ascii="Sylfaen" w:hAnsi="Sylfaen"/>
              </w:rPr>
            </w:pPr>
            <w:r w:rsidRPr="009E4CF0">
              <w:rPr>
                <w:rFonts w:ascii="Sylfaen" w:hAnsi="Sylfaen"/>
              </w:rPr>
              <w:t>48.79</w:t>
            </w:r>
          </w:p>
        </w:tc>
        <w:tc>
          <w:tcPr>
            <w:tcW w:w="2266" w:type="dxa"/>
            <w:tcBorders>
              <w:top w:val="nil"/>
              <w:bottom w:val="nil"/>
            </w:tcBorders>
          </w:tcPr>
          <w:p w:rsidR="00C933BB" w:rsidRPr="009E4CF0" w:rsidRDefault="00D12A93" w:rsidP="00B57BD2">
            <w:pPr>
              <w:pStyle w:val="TableParagraph"/>
              <w:spacing w:line="234" w:lineRule="exact"/>
              <w:ind w:right="171"/>
              <w:jc w:val="both"/>
              <w:rPr>
                <w:rFonts w:ascii="Sylfaen" w:hAnsi="Sylfaen"/>
              </w:rPr>
            </w:pPr>
            <w:r w:rsidRPr="009E4CF0">
              <w:rPr>
                <w:rFonts w:ascii="Sylfaen" w:hAnsi="Sylfaen"/>
              </w:rPr>
              <w:t>7492.98</w:t>
            </w:r>
          </w:p>
        </w:tc>
        <w:tc>
          <w:tcPr>
            <w:tcW w:w="2266" w:type="dxa"/>
            <w:tcBorders>
              <w:top w:val="nil"/>
              <w:bottom w:val="nil"/>
            </w:tcBorders>
          </w:tcPr>
          <w:p w:rsidR="00C933BB" w:rsidRPr="009E4CF0" w:rsidRDefault="00D12A93" w:rsidP="00B57BD2">
            <w:pPr>
              <w:pStyle w:val="TableParagraph"/>
              <w:spacing w:line="234" w:lineRule="exact"/>
              <w:ind w:left="718"/>
              <w:jc w:val="both"/>
              <w:rPr>
                <w:rFonts w:ascii="Sylfaen" w:hAnsi="Sylfaen"/>
              </w:rPr>
            </w:pPr>
            <w:r w:rsidRPr="009E4CF0">
              <w:rPr>
                <w:rFonts w:ascii="Sylfaen" w:hAnsi="Sylfaen"/>
              </w:rPr>
              <w:t>34754.10</w:t>
            </w:r>
          </w:p>
        </w:tc>
      </w:tr>
      <w:tr w:rsidR="00C933BB" w:rsidRPr="009E4CF0">
        <w:trPr>
          <w:trHeight w:val="254"/>
        </w:trPr>
        <w:tc>
          <w:tcPr>
            <w:tcW w:w="2266" w:type="dxa"/>
            <w:tcBorders>
              <w:top w:val="nil"/>
            </w:tcBorders>
          </w:tcPr>
          <w:p w:rsidR="00C933BB" w:rsidRPr="009E4CF0" w:rsidRDefault="00C933BB" w:rsidP="00B57BD2">
            <w:pPr>
              <w:pStyle w:val="TableParagraph"/>
              <w:ind w:left="0"/>
              <w:jc w:val="both"/>
              <w:rPr>
                <w:rFonts w:ascii="Sylfaen" w:hAnsi="Sylfaen"/>
                <w:sz w:val="18"/>
              </w:rPr>
            </w:pPr>
          </w:p>
        </w:tc>
        <w:tc>
          <w:tcPr>
            <w:tcW w:w="2266" w:type="dxa"/>
            <w:tcBorders>
              <w:top w:val="nil"/>
            </w:tcBorders>
          </w:tcPr>
          <w:p w:rsidR="00C933BB" w:rsidRPr="009E4CF0" w:rsidRDefault="00D12A93" w:rsidP="00B57BD2">
            <w:pPr>
              <w:pStyle w:val="TableParagraph"/>
              <w:spacing w:line="234" w:lineRule="exact"/>
              <w:ind w:right="174"/>
              <w:jc w:val="both"/>
              <w:rPr>
                <w:rFonts w:ascii="Sylfaen" w:hAnsi="Sylfaen"/>
              </w:rPr>
            </w:pPr>
            <w:r w:rsidRPr="009E4CF0">
              <w:rPr>
                <w:rFonts w:ascii="Sylfaen" w:hAnsi="Sylfaen"/>
              </w:rPr>
              <w:t>(39.6, 60.1)</w:t>
            </w:r>
          </w:p>
        </w:tc>
        <w:tc>
          <w:tcPr>
            <w:tcW w:w="2266" w:type="dxa"/>
            <w:tcBorders>
              <w:top w:val="nil"/>
            </w:tcBorders>
          </w:tcPr>
          <w:p w:rsidR="00C933BB" w:rsidRPr="009E4CF0" w:rsidRDefault="00D12A93" w:rsidP="00B57BD2">
            <w:pPr>
              <w:pStyle w:val="TableParagraph"/>
              <w:spacing w:line="234" w:lineRule="exact"/>
              <w:ind w:right="170"/>
              <w:jc w:val="both"/>
              <w:rPr>
                <w:rFonts w:ascii="Sylfaen" w:hAnsi="Sylfaen"/>
              </w:rPr>
            </w:pPr>
            <w:r w:rsidRPr="009E4CF0">
              <w:rPr>
                <w:rFonts w:ascii="Sylfaen" w:hAnsi="Sylfaen"/>
              </w:rPr>
              <w:t>(5885.1, 9540.2)</w:t>
            </w:r>
          </w:p>
        </w:tc>
        <w:tc>
          <w:tcPr>
            <w:tcW w:w="2266" w:type="dxa"/>
            <w:tcBorders>
              <w:top w:val="nil"/>
            </w:tcBorders>
          </w:tcPr>
          <w:p w:rsidR="00C933BB" w:rsidRPr="009E4CF0" w:rsidRDefault="00D12A93" w:rsidP="00B57BD2">
            <w:pPr>
              <w:pStyle w:val="TableParagraph"/>
              <w:spacing w:line="234" w:lineRule="exact"/>
              <w:ind w:left="0" w:right="271"/>
              <w:jc w:val="both"/>
              <w:rPr>
                <w:rFonts w:ascii="Sylfaen" w:hAnsi="Sylfaen"/>
              </w:rPr>
            </w:pPr>
            <w:r w:rsidRPr="009E4CF0">
              <w:rPr>
                <w:rFonts w:ascii="Sylfaen" w:hAnsi="Sylfaen"/>
              </w:rPr>
              <w:t>(30287.2, 39879.8)</w:t>
            </w:r>
          </w:p>
        </w:tc>
      </w:tr>
    </w:tbl>
    <w:p w:rsidR="002F788C" w:rsidRPr="009E4CF0" w:rsidRDefault="002F788C" w:rsidP="00B57BD2">
      <w:pPr>
        <w:spacing w:line="234" w:lineRule="exact"/>
        <w:jc w:val="both"/>
        <w:rPr>
          <w:rFonts w:ascii="Sylfaen" w:hAnsi="Sylfaen"/>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6"/>
        <w:gridCol w:w="2266"/>
        <w:gridCol w:w="2266"/>
        <w:gridCol w:w="2266"/>
      </w:tblGrid>
      <w:tr w:rsidR="00C933BB" w:rsidRPr="009E4CF0">
        <w:trPr>
          <w:trHeight w:val="253"/>
        </w:trPr>
        <w:tc>
          <w:tcPr>
            <w:tcW w:w="2266" w:type="dxa"/>
            <w:vMerge w:val="restart"/>
          </w:tcPr>
          <w:p w:rsidR="00C933BB" w:rsidRPr="009E4CF0" w:rsidRDefault="00C933BB" w:rsidP="00B57BD2">
            <w:pPr>
              <w:pStyle w:val="TableParagraph"/>
              <w:spacing w:before="7"/>
              <w:ind w:left="0"/>
              <w:jc w:val="both"/>
              <w:rPr>
                <w:rFonts w:ascii="Sylfaen" w:hAnsi="Sylfaen"/>
                <w:b/>
              </w:rPr>
            </w:pPr>
          </w:p>
          <w:p w:rsidR="00C933BB" w:rsidRPr="009E4CF0" w:rsidRDefault="00D12A93" w:rsidP="00B57BD2">
            <w:pPr>
              <w:pStyle w:val="TableParagraph"/>
              <w:ind w:left="619"/>
              <w:jc w:val="both"/>
              <w:rPr>
                <w:rFonts w:ascii="Sylfaen" w:hAnsi="Sylfaen"/>
                <w:b/>
              </w:rPr>
            </w:pPr>
            <w:r w:rsidRPr="009E4CF0">
              <w:rPr>
                <w:rFonts w:ascii="Sylfaen" w:hAnsi="Sylfaen"/>
                <w:b/>
              </w:rPr>
              <w:t>პოპულაცია</w:t>
            </w:r>
          </w:p>
        </w:tc>
        <w:tc>
          <w:tcPr>
            <w:tcW w:w="2266" w:type="dxa"/>
          </w:tcPr>
          <w:p w:rsidR="00C933BB" w:rsidRPr="009E4CF0" w:rsidRDefault="00D12A93" w:rsidP="00B57BD2">
            <w:pPr>
              <w:pStyle w:val="TableParagraph"/>
              <w:spacing w:before="1" w:line="233" w:lineRule="exact"/>
              <w:ind w:right="179"/>
              <w:jc w:val="both"/>
              <w:rPr>
                <w:rFonts w:ascii="Sylfaen" w:hAnsi="Sylfaen"/>
                <w:b/>
              </w:rPr>
            </w:pPr>
            <w:r w:rsidRPr="009E4CF0">
              <w:rPr>
                <w:rFonts w:ascii="Sylfaen" w:hAnsi="Sylfaen"/>
                <w:b/>
              </w:rPr>
              <w:t>საწყისი მონაცემები</w:t>
            </w:r>
          </w:p>
        </w:tc>
        <w:tc>
          <w:tcPr>
            <w:tcW w:w="2266" w:type="dxa"/>
          </w:tcPr>
          <w:p w:rsidR="00C933BB" w:rsidRPr="009E4CF0" w:rsidRDefault="00D12A93" w:rsidP="00B57BD2">
            <w:pPr>
              <w:pStyle w:val="TableParagraph"/>
              <w:spacing w:before="1" w:line="233" w:lineRule="exact"/>
              <w:ind w:right="181"/>
              <w:jc w:val="both"/>
              <w:rPr>
                <w:rFonts w:ascii="Sylfaen" w:hAnsi="Sylfaen"/>
                <w:b/>
              </w:rPr>
            </w:pPr>
            <w:r w:rsidRPr="009E4CF0">
              <w:rPr>
                <w:rFonts w:ascii="Sylfaen" w:hAnsi="Sylfaen"/>
                <w:b/>
              </w:rPr>
              <w:t>28 დღე პირველი დოზიდან</w:t>
            </w:r>
          </w:p>
        </w:tc>
        <w:tc>
          <w:tcPr>
            <w:tcW w:w="2266" w:type="dxa"/>
          </w:tcPr>
          <w:p w:rsidR="00C933BB" w:rsidRPr="009E4CF0" w:rsidRDefault="00D12A93" w:rsidP="00B57BD2">
            <w:pPr>
              <w:pStyle w:val="TableParagraph"/>
              <w:spacing w:before="1" w:line="233" w:lineRule="exact"/>
              <w:ind w:left="0" w:right="201"/>
              <w:jc w:val="both"/>
              <w:rPr>
                <w:rFonts w:ascii="Sylfaen" w:hAnsi="Sylfaen"/>
                <w:b/>
              </w:rPr>
            </w:pPr>
            <w:r w:rsidRPr="009E4CF0">
              <w:rPr>
                <w:rFonts w:ascii="Sylfaen" w:hAnsi="Sylfaen"/>
                <w:b/>
              </w:rPr>
              <w:t>28 დღე მეორე დოზიდან</w:t>
            </w:r>
          </w:p>
        </w:tc>
      </w:tr>
      <w:tr w:rsidR="00C933BB" w:rsidRPr="009E4CF0">
        <w:trPr>
          <w:trHeight w:val="508"/>
        </w:trPr>
        <w:tc>
          <w:tcPr>
            <w:tcW w:w="2266" w:type="dxa"/>
            <w:vMerge/>
            <w:tcBorders>
              <w:top w:val="nil"/>
            </w:tcBorders>
          </w:tcPr>
          <w:p w:rsidR="00C933BB" w:rsidRPr="009E4CF0" w:rsidRDefault="00C933BB" w:rsidP="00B57BD2">
            <w:pPr>
              <w:jc w:val="both"/>
              <w:rPr>
                <w:rFonts w:ascii="Sylfaen" w:hAnsi="Sylfaen"/>
                <w:sz w:val="2"/>
                <w:szCs w:val="2"/>
              </w:rPr>
            </w:pPr>
          </w:p>
        </w:tc>
        <w:tc>
          <w:tcPr>
            <w:tcW w:w="2266" w:type="dxa"/>
          </w:tcPr>
          <w:p w:rsidR="00C933BB" w:rsidRPr="009E4CF0" w:rsidRDefault="00D12A93" w:rsidP="00B57BD2">
            <w:pPr>
              <w:pStyle w:val="TableParagraph"/>
              <w:spacing w:before="3" w:line="254" w:lineRule="exact"/>
              <w:ind w:left="690" w:right="659" w:firstLine="182"/>
              <w:jc w:val="both"/>
              <w:rPr>
                <w:rFonts w:ascii="Sylfaen" w:hAnsi="Sylfaen"/>
                <w:b/>
              </w:rPr>
            </w:pPr>
            <w:r w:rsidRPr="009E4CF0">
              <w:rPr>
                <w:rFonts w:ascii="Sylfaen" w:hAnsi="Sylfaen"/>
                <w:b/>
              </w:rPr>
              <w:t>GMT (95% CI)</w:t>
            </w:r>
          </w:p>
        </w:tc>
        <w:tc>
          <w:tcPr>
            <w:tcW w:w="2266" w:type="dxa"/>
          </w:tcPr>
          <w:p w:rsidR="00C933BB" w:rsidRPr="009E4CF0" w:rsidRDefault="00D12A93" w:rsidP="00B57BD2">
            <w:pPr>
              <w:pStyle w:val="TableParagraph"/>
              <w:spacing w:before="3" w:line="254" w:lineRule="exact"/>
              <w:ind w:left="690" w:right="659" w:firstLine="182"/>
              <w:jc w:val="both"/>
              <w:rPr>
                <w:rFonts w:ascii="Sylfaen" w:hAnsi="Sylfaen"/>
                <w:b/>
              </w:rPr>
            </w:pPr>
            <w:r w:rsidRPr="009E4CF0">
              <w:rPr>
                <w:rFonts w:ascii="Sylfaen" w:hAnsi="Sylfaen"/>
                <w:b/>
              </w:rPr>
              <w:t>GMT (95% CI)</w:t>
            </w:r>
          </w:p>
        </w:tc>
        <w:tc>
          <w:tcPr>
            <w:tcW w:w="2266" w:type="dxa"/>
          </w:tcPr>
          <w:p w:rsidR="00C933BB" w:rsidRPr="009E4CF0" w:rsidRDefault="00D12A93" w:rsidP="00B57BD2">
            <w:pPr>
              <w:pStyle w:val="TableParagraph"/>
              <w:spacing w:before="3" w:line="254" w:lineRule="exact"/>
              <w:ind w:left="689" w:right="660" w:firstLine="182"/>
              <w:jc w:val="both"/>
              <w:rPr>
                <w:rFonts w:ascii="Sylfaen" w:hAnsi="Sylfaen"/>
                <w:b/>
              </w:rPr>
            </w:pPr>
            <w:r w:rsidRPr="009E4CF0">
              <w:rPr>
                <w:rFonts w:ascii="Sylfaen" w:hAnsi="Sylfaen"/>
                <w:b/>
              </w:rPr>
              <w:t>GMT (95% CI)</w:t>
            </w:r>
          </w:p>
        </w:tc>
      </w:tr>
      <w:tr w:rsidR="00C933BB" w:rsidRPr="009E4CF0">
        <w:trPr>
          <w:trHeight w:val="246"/>
        </w:trPr>
        <w:tc>
          <w:tcPr>
            <w:tcW w:w="2266" w:type="dxa"/>
            <w:tcBorders>
              <w:bottom w:val="nil"/>
            </w:tcBorders>
          </w:tcPr>
          <w:p w:rsidR="00C933BB" w:rsidRPr="009E4CF0" w:rsidRDefault="00C933BB" w:rsidP="00B57BD2">
            <w:pPr>
              <w:pStyle w:val="TableParagraph"/>
              <w:ind w:left="0"/>
              <w:jc w:val="both"/>
              <w:rPr>
                <w:rFonts w:ascii="Sylfaen" w:hAnsi="Sylfaen"/>
                <w:sz w:val="16"/>
              </w:rPr>
            </w:pPr>
          </w:p>
        </w:tc>
        <w:tc>
          <w:tcPr>
            <w:tcW w:w="2266" w:type="dxa"/>
            <w:tcBorders>
              <w:bottom w:val="nil"/>
            </w:tcBorders>
          </w:tcPr>
          <w:p w:rsidR="00C933BB" w:rsidRPr="009E4CF0" w:rsidRDefault="00D12A93" w:rsidP="00B57BD2">
            <w:pPr>
              <w:pStyle w:val="TableParagraph"/>
              <w:spacing w:line="227" w:lineRule="exact"/>
              <w:ind w:right="179"/>
              <w:jc w:val="both"/>
              <w:rPr>
                <w:rFonts w:ascii="Sylfaen" w:hAnsi="Sylfaen"/>
              </w:rPr>
            </w:pPr>
            <w:r w:rsidRPr="009E4CF0">
              <w:rPr>
                <w:rFonts w:ascii="Sylfaen" w:hAnsi="Sylfaen"/>
              </w:rPr>
              <w:t>(N=154)</w:t>
            </w:r>
          </w:p>
        </w:tc>
        <w:tc>
          <w:tcPr>
            <w:tcW w:w="2266" w:type="dxa"/>
            <w:tcBorders>
              <w:bottom w:val="nil"/>
            </w:tcBorders>
          </w:tcPr>
          <w:p w:rsidR="00C933BB" w:rsidRPr="009E4CF0" w:rsidRDefault="00D12A93" w:rsidP="00B57BD2">
            <w:pPr>
              <w:pStyle w:val="TableParagraph"/>
              <w:spacing w:line="227" w:lineRule="exact"/>
              <w:ind w:right="180"/>
              <w:jc w:val="both"/>
              <w:rPr>
                <w:rFonts w:ascii="Sylfaen" w:hAnsi="Sylfaen"/>
              </w:rPr>
            </w:pPr>
            <w:r w:rsidRPr="009E4CF0">
              <w:rPr>
                <w:rFonts w:ascii="Sylfaen" w:hAnsi="Sylfaen"/>
              </w:rPr>
              <w:t>(N=152)</w:t>
            </w:r>
          </w:p>
        </w:tc>
        <w:tc>
          <w:tcPr>
            <w:tcW w:w="2266" w:type="dxa"/>
            <w:tcBorders>
              <w:bottom w:val="nil"/>
            </w:tcBorders>
          </w:tcPr>
          <w:p w:rsidR="00C933BB" w:rsidRPr="009E4CF0" w:rsidRDefault="00D12A93" w:rsidP="00B57BD2">
            <w:pPr>
              <w:pStyle w:val="TableParagraph"/>
              <w:spacing w:line="227" w:lineRule="exact"/>
              <w:ind w:left="752"/>
              <w:jc w:val="both"/>
              <w:rPr>
                <w:rFonts w:ascii="Sylfaen" w:hAnsi="Sylfaen"/>
              </w:rPr>
            </w:pPr>
            <w:r w:rsidRPr="009E4CF0">
              <w:rPr>
                <w:rFonts w:ascii="Sylfaen" w:hAnsi="Sylfaen"/>
              </w:rPr>
              <w:t>(N=154)</w:t>
            </w:r>
          </w:p>
        </w:tc>
      </w:tr>
      <w:tr w:rsidR="00C933BB" w:rsidRPr="009E4CF0">
        <w:trPr>
          <w:trHeight w:val="254"/>
        </w:trPr>
        <w:tc>
          <w:tcPr>
            <w:tcW w:w="2266" w:type="dxa"/>
            <w:tcBorders>
              <w:top w:val="nil"/>
              <w:bottom w:val="nil"/>
            </w:tcBorders>
          </w:tcPr>
          <w:p w:rsidR="00C933BB" w:rsidRPr="009E4CF0" w:rsidRDefault="00D12A93" w:rsidP="00B57BD2">
            <w:pPr>
              <w:pStyle w:val="TableParagraph"/>
              <w:spacing w:line="234" w:lineRule="exact"/>
              <w:ind w:left="662"/>
              <w:jc w:val="both"/>
              <w:rPr>
                <w:rFonts w:ascii="Sylfaen" w:hAnsi="Sylfaen"/>
              </w:rPr>
            </w:pPr>
            <w:r w:rsidRPr="009E4CF0">
              <w:rPr>
                <w:rFonts w:ascii="Sylfaen" w:hAnsi="Sylfaen"/>
              </w:rPr>
              <w:t>≥12 კვირა</w:t>
            </w:r>
          </w:p>
        </w:tc>
        <w:tc>
          <w:tcPr>
            <w:tcW w:w="2266" w:type="dxa"/>
            <w:tcBorders>
              <w:top w:val="nil"/>
              <w:bottom w:val="nil"/>
            </w:tcBorders>
          </w:tcPr>
          <w:p w:rsidR="00C933BB" w:rsidRPr="009E4CF0" w:rsidRDefault="00D12A93" w:rsidP="00B57BD2">
            <w:pPr>
              <w:pStyle w:val="TableParagraph"/>
              <w:spacing w:line="234" w:lineRule="exact"/>
              <w:ind w:right="170"/>
              <w:jc w:val="both"/>
              <w:rPr>
                <w:rFonts w:ascii="Sylfaen" w:hAnsi="Sylfaen"/>
              </w:rPr>
            </w:pPr>
            <w:r w:rsidRPr="009E4CF0">
              <w:rPr>
                <w:rFonts w:ascii="Sylfaen" w:hAnsi="Sylfaen"/>
              </w:rPr>
              <w:t>52.98</w:t>
            </w:r>
          </w:p>
        </w:tc>
        <w:tc>
          <w:tcPr>
            <w:tcW w:w="2266" w:type="dxa"/>
            <w:tcBorders>
              <w:top w:val="nil"/>
              <w:bottom w:val="nil"/>
            </w:tcBorders>
          </w:tcPr>
          <w:p w:rsidR="00C933BB" w:rsidRPr="009E4CF0" w:rsidRDefault="00D12A93" w:rsidP="00B57BD2">
            <w:pPr>
              <w:pStyle w:val="TableParagraph"/>
              <w:spacing w:line="234" w:lineRule="exact"/>
              <w:ind w:right="171"/>
              <w:jc w:val="both"/>
              <w:rPr>
                <w:rFonts w:ascii="Sylfaen" w:hAnsi="Sylfaen"/>
              </w:rPr>
            </w:pPr>
            <w:r w:rsidRPr="009E4CF0">
              <w:rPr>
                <w:rFonts w:ascii="Sylfaen" w:hAnsi="Sylfaen"/>
              </w:rPr>
              <w:t>8618.17</w:t>
            </w:r>
          </w:p>
        </w:tc>
        <w:tc>
          <w:tcPr>
            <w:tcW w:w="2266" w:type="dxa"/>
            <w:tcBorders>
              <w:top w:val="nil"/>
              <w:bottom w:val="nil"/>
            </w:tcBorders>
          </w:tcPr>
          <w:p w:rsidR="00C933BB" w:rsidRPr="009E4CF0" w:rsidRDefault="00D12A93" w:rsidP="00B57BD2">
            <w:pPr>
              <w:pStyle w:val="TableParagraph"/>
              <w:spacing w:line="234" w:lineRule="exact"/>
              <w:ind w:left="718"/>
              <w:jc w:val="both"/>
              <w:rPr>
                <w:rFonts w:ascii="Sylfaen" w:hAnsi="Sylfaen"/>
              </w:rPr>
            </w:pPr>
            <w:r w:rsidRPr="009E4CF0">
              <w:rPr>
                <w:rFonts w:ascii="Sylfaen" w:hAnsi="Sylfaen"/>
              </w:rPr>
              <w:t>63181.59</w:t>
            </w:r>
          </w:p>
        </w:tc>
      </w:tr>
      <w:tr w:rsidR="00C933BB" w:rsidRPr="009E4CF0">
        <w:trPr>
          <w:trHeight w:val="254"/>
        </w:trPr>
        <w:tc>
          <w:tcPr>
            <w:tcW w:w="2266" w:type="dxa"/>
            <w:tcBorders>
              <w:top w:val="nil"/>
            </w:tcBorders>
          </w:tcPr>
          <w:p w:rsidR="00C933BB" w:rsidRPr="009E4CF0" w:rsidRDefault="00C933BB" w:rsidP="00B57BD2">
            <w:pPr>
              <w:pStyle w:val="TableParagraph"/>
              <w:ind w:left="0"/>
              <w:jc w:val="both"/>
              <w:rPr>
                <w:rFonts w:ascii="Sylfaen" w:hAnsi="Sylfaen"/>
                <w:sz w:val="18"/>
              </w:rPr>
            </w:pPr>
          </w:p>
        </w:tc>
        <w:tc>
          <w:tcPr>
            <w:tcW w:w="2266" w:type="dxa"/>
            <w:tcBorders>
              <w:top w:val="nil"/>
            </w:tcBorders>
          </w:tcPr>
          <w:p w:rsidR="00C933BB" w:rsidRPr="009E4CF0" w:rsidRDefault="00D12A93" w:rsidP="00B57BD2">
            <w:pPr>
              <w:pStyle w:val="TableParagraph"/>
              <w:spacing w:line="234" w:lineRule="exact"/>
              <w:ind w:right="174"/>
              <w:jc w:val="both"/>
              <w:rPr>
                <w:rFonts w:ascii="Sylfaen" w:hAnsi="Sylfaen"/>
              </w:rPr>
            </w:pPr>
            <w:r w:rsidRPr="009E4CF0">
              <w:rPr>
                <w:rFonts w:ascii="Sylfaen" w:hAnsi="Sylfaen"/>
              </w:rPr>
              <w:t>(44.4, 63.2)</w:t>
            </w:r>
          </w:p>
        </w:tc>
        <w:tc>
          <w:tcPr>
            <w:tcW w:w="2266" w:type="dxa"/>
            <w:tcBorders>
              <w:top w:val="nil"/>
            </w:tcBorders>
          </w:tcPr>
          <w:p w:rsidR="00C933BB" w:rsidRPr="009E4CF0" w:rsidRDefault="00D12A93" w:rsidP="00B57BD2">
            <w:pPr>
              <w:pStyle w:val="TableParagraph"/>
              <w:spacing w:line="234" w:lineRule="exact"/>
              <w:ind w:right="174"/>
              <w:jc w:val="both"/>
              <w:rPr>
                <w:rFonts w:ascii="Sylfaen" w:hAnsi="Sylfaen"/>
              </w:rPr>
            </w:pPr>
            <w:r w:rsidRPr="009E4CF0">
              <w:rPr>
                <w:rFonts w:ascii="Sylfaen" w:hAnsi="Sylfaen"/>
              </w:rPr>
              <w:t>(7195.4, 10322.3)</w:t>
            </w:r>
          </w:p>
        </w:tc>
        <w:tc>
          <w:tcPr>
            <w:tcW w:w="2266" w:type="dxa"/>
            <w:tcBorders>
              <w:top w:val="nil"/>
            </w:tcBorders>
          </w:tcPr>
          <w:p w:rsidR="00C933BB" w:rsidRPr="009E4CF0" w:rsidRDefault="00D12A93" w:rsidP="00B57BD2">
            <w:pPr>
              <w:pStyle w:val="TableParagraph"/>
              <w:spacing w:line="234" w:lineRule="exact"/>
              <w:ind w:left="0" w:right="271"/>
              <w:jc w:val="both"/>
              <w:rPr>
                <w:rFonts w:ascii="Sylfaen" w:hAnsi="Sylfaen"/>
              </w:rPr>
            </w:pPr>
            <w:r w:rsidRPr="009E4CF0">
              <w:rPr>
                <w:rFonts w:ascii="Sylfaen" w:hAnsi="Sylfaen"/>
              </w:rPr>
              <w:t>(55180.1, 72343.4)</w:t>
            </w:r>
          </w:p>
        </w:tc>
      </w:tr>
    </w:tbl>
    <w:p w:rsidR="00C933BB" w:rsidRPr="009E4CF0" w:rsidRDefault="00D12A93" w:rsidP="00B57BD2">
      <w:pPr>
        <w:spacing w:line="225" w:lineRule="exact"/>
        <w:ind w:left="115"/>
        <w:jc w:val="both"/>
        <w:rPr>
          <w:rFonts w:ascii="Sylfaen" w:hAnsi="Sylfaen"/>
          <w:sz w:val="20"/>
        </w:rPr>
      </w:pPr>
      <w:r w:rsidRPr="009E4CF0">
        <w:rPr>
          <w:rFonts w:ascii="Sylfaen" w:hAnsi="Sylfaen"/>
          <w:sz w:val="20"/>
        </w:rPr>
        <w:t>N=თითოეულ ჯგუფში შემავალი სუბიექტების რაოდენობა; GMT=საშუალო გეომეტრიული ტიტრი; S =</w:t>
      </w:r>
    </w:p>
    <w:p w:rsidR="00C933BB" w:rsidRPr="009E4CF0" w:rsidRDefault="00A62A91" w:rsidP="00B57BD2">
      <w:pPr>
        <w:ind w:left="115"/>
        <w:jc w:val="both"/>
        <w:rPr>
          <w:rFonts w:ascii="Sylfaen" w:hAnsi="Sylfaen"/>
          <w:sz w:val="20"/>
        </w:rPr>
      </w:pPr>
      <w:r>
        <w:rPr>
          <w:rFonts w:ascii="Sylfaen" w:hAnsi="Sylfaen"/>
          <w:sz w:val="20"/>
        </w:rPr>
        <w:t>სპაიკი</w:t>
      </w:r>
    </w:p>
    <w:p w:rsidR="00C933BB" w:rsidRPr="009E4CF0" w:rsidRDefault="00D12A93" w:rsidP="00B57BD2">
      <w:pPr>
        <w:spacing w:before="1"/>
        <w:ind w:left="115"/>
        <w:jc w:val="both"/>
        <w:rPr>
          <w:rFonts w:ascii="Sylfaen" w:hAnsi="Sylfaen"/>
          <w:sz w:val="20"/>
        </w:rPr>
      </w:pPr>
      <w:r w:rsidRPr="009E4CF0">
        <w:rPr>
          <w:rFonts w:ascii="Sylfaen" w:hAnsi="Sylfaen"/>
          <w:sz w:val="20"/>
          <w:vertAlign w:val="superscript"/>
        </w:rPr>
        <w:t>a</w:t>
      </w:r>
      <w:r w:rsidRPr="009E4CF0">
        <w:rPr>
          <w:rFonts w:ascii="Sylfaen" w:hAnsi="Sylfaen"/>
          <w:sz w:val="20"/>
        </w:rPr>
        <w:t xml:space="preserve"> იმუნური პასუხის შეფასება ხდება მრავალჯერადი იმუნოლოგიური ანალიზი</w:t>
      </w:r>
      <w:r w:rsidR="00D24E36" w:rsidRPr="009E4CF0">
        <w:rPr>
          <w:rFonts w:ascii="Sylfaen" w:hAnsi="Sylfaen"/>
          <w:sz w:val="20"/>
        </w:rPr>
        <w:t>ს საფუძველზე</w:t>
      </w:r>
      <w:r w:rsidRPr="009E4CF0">
        <w:rPr>
          <w:rFonts w:ascii="Sylfaen" w:hAnsi="Sylfaen"/>
          <w:sz w:val="20"/>
        </w:rPr>
        <w:t>.</w:t>
      </w:r>
    </w:p>
    <w:p w:rsidR="00C933BB" w:rsidRPr="009E4CF0" w:rsidRDefault="00C933BB" w:rsidP="00B57BD2">
      <w:pPr>
        <w:pStyle w:val="BodyText"/>
        <w:spacing w:before="6"/>
        <w:jc w:val="both"/>
        <w:rPr>
          <w:rFonts w:ascii="Sylfaen" w:hAnsi="Sylfaen"/>
          <w:sz w:val="20"/>
        </w:rPr>
      </w:pPr>
    </w:p>
    <w:p w:rsidR="00C933BB" w:rsidRPr="009E4CF0" w:rsidRDefault="00D12A93" w:rsidP="00B57BD2">
      <w:pPr>
        <w:pStyle w:val="BodyText"/>
        <w:ind w:left="115" w:right="144"/>
        <w:jc w:val="both"/>
        <w:rPr>
          <w:rFonts w:ascii="Sylfaen" w:hAnsi="Sylfaen"/>
        </w:rPr>
      </w:pPr>
      <w:r w:rsidRPr="009E4CF0">
        <w:rPr>
          <w:rFonts w:ascii="Sylfaen" w:hAnsi="Sylfaen"/>
        </w:rPr>
        <w:t>ერთი ან რამდენიმე თანმხლები დაავადების მქონე მონაწილეებში დაფიქსირებული იმუნური პასუხი შეესაბამებოდა მთლიანი პოპულაციის პასუხს.</w:t>
      </w:r>
    </w:p>
    <w:p w:rsidR="00C933BB" w:rsidRPr="009E4CF0" w:rsidRDefault="00C933BB" w:rsidP="00B57BD2">
      <w:pPr>
        <w:pStyle w:val="BodyText"/>
        <w:spacing w:before="10"/>
        <w:jc w:val="both"/>
        <w:rPr>
          <w:rFonts w:ascii="Sylfaen" w:hAnsi="Sylfaen"/>
          <w:sz w:val="21"/>
        </w:rPr>
      </w:pPr>
    </w:p>
    <w:p w:rsidR="00C933BB" w:rsidRPr="009E4CF0" w:rsidRDefault="00D12A93" w:rsidP="00D24E36">
      <w:pPr>
        <w:pStyle w:val="BodyText"/>
        <w:spacing w:before="1"/>
        <w:ind w:left="115" w:right="38"/>
        <w:jc w:val="both"/>
        <w:rPr>
          <w:rFonts w:ascii="Sylfaen" w:hAnsi="Sylfaen"/>
        </w:rPr>
      </w:pPr>
      <w:r w:rsidRPr="009E4CF0">
        <w:rPr>
          <w:rFonts w:ascii="Sylfaen" w:hAnsi="Sylfaen"/>
        </w:rPr>
        <w:t>სეროკონვერსიის მაღალი მაჩვენებლები დაფიქსირდა უფროსი ასაკის მონაწილეებში (65 წლის და მეტი) პირველი სტანდარტული დოზის SD (97.8% [N=136, 95% CI: 93.7; 99.5]) და მეორე სტანდარტული დოზის შემდეგ (100.0% [N=111, 95% CI: 96.7; NE]). S</w:t>
      </w:r>
      <w:r w:rsidR="00A62A91" w:rsidRPr="009E4CF0">
        <w:rPr>
          <w:rFonts w:ascii="Sylfaen" w:hAnsi="Sylfaen"/>
        </w:rPr>
        <w:t>-</w:t>
      </w:r>
      <w:r w:rsidR="00A62A91">
        <w:rPr>
          <w:rFonts w:ascii="Sylfaen" w:hAnsi="Sylfaen"/>
        </w:rPr>
        <w:t>შემბოჭველი</w:t>
      </w:r>
    </w:p>
    <w:p w:rsidR="00C933BB" w:rsidRPr="009E4CF0" w:rsidRDefault="00D12A93" w:rsidP="00D24E36">
      <w:pPr>
        <w:pStyle w:val="BodyText"/>
        <w:spacing w:before="5" w:line="237" w:lineRule="auto"/>
        <w:ind w:left="115" w:right="10"/>
        <w:jc w:val="both"/>
        <w:rPr>
          <w:rFonts w:ascii="Sylfaen" w:hAnsi="Sylfaen"/>
        </w:rPr>
      </w:pPr>
      <w:r w:rsidRPr="009E4CF0">
        <w:rPr>
          <w:rFonts w:ascii="Sylfaen" w:hAnsi="Sylfaen"/>
        </w:rPr>
        <w:t xml:space="preserve">ანტისხეულების ზრდა </w:t>
      </w:r>
      <w:r w:rsidR="009E4CF0" w:rsidRPr="009E4CF0">
        <w:rPr>
          <w:rFonts w:ascii="Sylfaen" w:hAnsi="Sylfaen"/>
        </w:rPr>
        <w:t>რიცხობრივად</w:t>
      </w:r>
      <w:r w:rsidRPr="009E4CF0">
        <w:rPr>
          <w:rFonts w:ascii="Sylfaen" w:hAnsi="Sylfaen"/>
        </w:rPr>
        <w:t xml:space="preserve"> დაბალი იყო 65 წლის და უფროსი ასაკის მონაწილეებში (28 დღე მეორე სტანდარტული დოზის შემდეგ: GMT=20,727.02 [N=116, 95% CI: 17,646.6; 24,345.2]) 18-64 წლის ასაკის მონაწილეებთან შედარებით</w:t>
      </w:r>
    </w:p>
    <w:p w:rsidR="00C933BB" w:rsidRPr="009E4CF0" w:rsidRDefault="00D12A93" w:rsidP="00B57BD2">
      <w:pPr>
        <w:pStyle w:val="BodyText"/>
        <w:spacing w:before="1"/>
        <w:ind w:left="115"/>
        <w:jc w:val="both"/>
        <w:rPr>
          <w:rFonts w:ascii="Sylfaen" w:hAnsi="Sylfaen"/>
        </w:rPr>
      </w:pPr>
      <w:r w:rsidRPr="009E4CF0">
        <w:rPr>
          <w:rFonts w:ascii="Sylfaen" w:hAnsi="Sylfaen"/>
        </w:rPr>
        <w:t>(28 დღე მეორე სტანდარტული დოზიდან: GMT=30,695.30 [N=703, 95% CI: 28,496.2; 33,064.1]). .</w:t>
      </w:r>
    </w:p>
    <w:p w:rsidR="00C933BB" w:rsidRPr="009E4CF0" w:rsidRDefault="00D12A93" w:rsidP="00D24E36">
      <w:pPr>
        <w:pStyle w:val="BodyText"/>
        <w:spacing w:before="1"/>
        <w:ind w:left="115" w:right="10"/>
        <w:jc w:val="both"/>
        <w:rPr>
          <w:rFonts w:ascii="Sylfaen" w:hAnsi="Sylfaen"/>
        </w:rPr>
      </w:pPr>
      <w:r w:rsidRPr="009E4CF0">
        <w:rPr>
          <w:rFonts w:ascii="Sylfaen" w:hAnsi="Sylfaen"/>
        </w:rPr>
        <w:t>65 წლის და უფროსი ასაკის მონაწილეების უმეტესობისთვის დოზებს შორის ინტერვალი 6 და მეტ კვირას შეადგენდა, რამაც შეიძლება ხელი შეუწყო რაოდენობრივად ნაკლები ტიტრის დაფიქსირებას.</w:t>
      </w:r>
    </w:p>
    <w:p w:rsidR="00C933BB" w:rsidRPr="009E4CF0" w:rsidRDefault="00C933BB" w:rsidP="00B57BD2">
      <w:pPr>
        <w:pStyle w:val="BodyText"/>
        <w:spacing w:before="11"/>
        <w:jc w:val="both"/>
        <w:rPr>
          <w:rFonts w:ascii="Sylfaen" w:hAnsi="Sylfaen"/>
          <w:sz w:val="21"/>
        </w:rPr>
      </w:pPr>
    </w:p>
    <w:p w:rsidR="00C933BB" w:rsidRPr="009E4CF0" w:rsidRDefault="00D12A93" w:rsidP="00D24E36">
      <w:pPr>
        <w:pStyle w:val="BodyText"/>
        <w:ind w:left="115" w:right="38"/>
        <w:jc w:val="both"/>
        <w:rPr>
          <w:rFonts w:ascii="Sylfaen" w:hAnsi="Sylfaen"/>
        </w:rPr>
      </w:pPr>
      <w:r w:rsidRPr="009E4CF0">
        <w:rPr>
          <w:rFonts w:ascii="Sylfaen" w:hAnsi="Sylfaen"/>
        </w:rPr>
        <w:t xml:space="preserve">მონაწილეებში გადატანილი SARS-CoV-2 </w:t>
      </w:r>
      <w:r w:rsidR="009E4CF0" w:rsidRPr="009E4CF0">
        <w:rPr>
          <w:rFonts w:ascii="Sylfaen" w:hAnsi="Sylfaen"/>
        </w:rPr>
        <w:t>ინფექციის</w:t>
      </w:r>
      <w:r w:rsidRPr="009E4CF0">
        <w:rPr>
          <w:rFonts w:ascii="Sylfaen" w:hAnsi="Sylfaen"/>
        </w:rPr>
        <w:t xml:space="preserve"> სეროლოგიური ჩვენებით საწყის დონეზე, (GMT=13,137.97 [N=29; 95% CI: 7,441.8; 23,194.1]), S-ანტისხეულების ტიტრმა 28 დღეში პიკს მიაღწია 1 დოზის შემდეგ (GMT=175,120.84</w:t>
      </w:r>
    </w:p>
    <w:p w:rsidR="00C933BB" w:rsidRPr="009E4CF0" w:rsidRDefault="00D12A93" w:rsidP="00B57BD2">
      <w:pPr>
        <w:pStyle w:val="BodyText"/>
        <w:spacing w:line="251" w:lineRule="exact"/>
        <w:ind w:left="115"/>
        <w:jc w:val="both"/>
        <w:rPr>
          <w:rFonts w:ascii="Sylfaen" w:hAnsi="Sylfaen"/>
        </w:rPr>
      </w:pPr>
      <w:r w:rsidRPr="009E4CF0">
        <w:rPr>
          <w:rFonts w:ascii="Sylfaen" w:hAnsi="Sylfaen"/>
        </w:rPr>
        <w:t>[N=28; 95% CI: 120,096.9; 255,354.8]).</w:t>
      </w:r>
    </w:p>
    <w:p w:rsidR="00C933BB" w:rsidRPr="009E4CF0" w:rsidRDefault="00C933BB" w:rsidP="00B57BD2">
      <w:pPr>
        <w:pStyle w:val="BodyText"/>
        <w:spacing w:before="3"/>
        <w:jc w:val="both"/>
        <w:rPr>
          <w:rFonts w:ascii="Sylfaen" w:hAnsi="Sylfaen"/>
        </w:rPr>
      </w:pPr>
    </w:p>
    <w:p w:rsidR="00C933BB" w:rsidRPr="009E4CF0" w:rsidRDefault="00D12A93" w:rsidP="00D24E36">
      <w:pPr>
        <w:pStyle w:val="BodyText"/>
        <w:ind w:left="115" w:right="24"/>
        <w:jc w:val="both"/>
        <w:rPr>
          <w:rFonts w:ascii="Sylfaen" w:hAnsi="Sylfaen"/>
        </w:rPr>
      </w:pPr>
      <w:r w:rsidRPr="009E4CF0">
        <w:rPr>
          <w:rFonts w:ascii="Sylfaen" w:hAnsi="Sylfaen"/>
        </w:rPr>
        <w:t>წანაზარდებისათვის დამახასიათებელი T-უჯრედული პასუხი, რომლის გაზომვაც მოხდა IFN-</w:t>
      </w:r>
      <w:r w:rsidRPr="009E4CF0">
        <w:t>ɣ</w:t>
      </w:r>
      <w:r w:rsidRPr="009E4CF0">
        <w:rPr>
          <w:rFonts w:ascii="Sylfaen" w:hAnsi="Sylfaen"/>
        </w:rPr>
        <w:t xml:space="preserve"> (</w:t>
      </w:r>
      <w:r w:rsidRPr="009E4CF0">
        <w:rPr>
          <w:rFonts w:ascii="Sylfaen" w:hAnsi="Sylfaen" w:cs="Sylfaen"/>
        </w:rPr>
        <w:t>ინტერფერონ</w:t>
      </w:r>
      <w:r w:rsidRPr="009E4CF0">
        <w:rPr>
          <w:rFonts w:ascii="Sylfaen" w:hAnsi="Sylfaen"/>
        </w:rPr>
        <w:t xml:space="preserve"> </w:t>
      </w:r>
      <w:r w:rsidRPr="009E4CF0">
        <w:rPr>
          <w:rFonts w:ascii="Sylfaen" w:hAnsi="Sylfaen" w:cs="Sylfaen"/>
        </w:rPr>
        <w:t>გამა</w:t>
      </w:r>
      <w:r w:rsidRPr="009E4CF0">
        <w:rPr>
          <w:rFonts w:ascii="Sylfaen" w:hAnsi="Sylfaen"/>
        </w:rPr>
        <w:t xml:space="preserve">) </w:t>
      </w:r>
      <w:r w:rsidRPr="009E4CF0">
        <w:rPr>
          <w:rFonts w:ascii="Sylfaen" w:hAnsi="Sylfaen" w:cs="Sylfaen"/>
        </w:rPr>
        <w:t>ფერმენტულ</w:t>
      </w:r>
      <w:r w:rsidRPr="009E4CF0">
        <w:rPr>
          <w:rFonts w:ascii="Sylfaen" w:hAnsi="Sylfaen"/>
        </w:rPr>
        <w:t>-</w:t>
      </w:r>
      <w:r w:rsidRPr="009E4CF0">
        <w:rPr>
          <w:rFonts w:ascii="Sylfaen" w:hAnsi="Sylfaen" w:cs="Sylfaen"/>
        </w:rPr>
        <w:t>შემაკავშირებელი</w:t>
      </w:r>
      <w:r w:rsidRPr="009E4CF0">
        <w:rPr>
          <w:rFonts w:ascii="Sylfaen" w:hAnsi="Sylfaen"/>
        </w:rPr>
        <w:t xml:space="preserve"> </w:t>
      </w:r>
      <w:r w:rsidRPr="009E4CF0">
        <w:rPr>
          <w:rFonts w:ascii="Sylfaen" w:hAnsi="Sylfaen" w:cs="Sylfaen"/>
        </w:rPr>
        <w:t>სპოტ</w:t>
      </w:r>
      <w:r w:rsidRPr="009E4CF0">
        <w:rPr>
          <w:rFonts w:ascii="Sylfaen" w:hAnsi="Sylfaen"/>
        </w:rPr>
        <w:t>-</w:t>
      </w:r>
      <w:r w:rsidRPr="009E4CF0">
        <w:rPr>
          <w:rFonts w:ascii="Sylfaen" w:hAnsi="Sylfaen" w:cs="Sylfaen"/>
        </w:rPr>
        <w:t>იმუნური</w:t>
      </w:r>
      <w:r w:rsidRPr="009E4CF0">
        <w:rPr>
          <w:rFonts w:ascii="Sylfaen" w:hAnsi="Sylfaen"/>
        </w:rPr>
        <w:t xml:space="preserve"> (ELISpot) </w:t>
      </w:r>
      <w:r w:rsidRPr="009E4CF0">
        <w:rPr>
          <w:rFonts w:ascii="Sylfaen" w:hAnsi="Sylfaen" w:cs="Sylfaen"/>
        </w:rPr>
        <w:t>ანალიზით</w:t>
      </w:r>
      <w:r w:rsidRPr="009E4CF0">
        <w:rPr>
          <w:rFonts w:ascii="Sylfaen" w:hAnsi="Sylfaen"/>
        </w:rPr>
        <w:t xml:space="preserve">, </w:t>
      </w:r>
      <w:r w:rsidRPr="009E4CF0">
        <w:rPr>
          <w:rFonts w:ascii="Sylfaen" w:hAnsi="Sylfaen" w:cs="Sylfaen"/>
        </w:rPr>
        <w:t>ინდუცირდება</w:t>
      </w:r>
      <w:r w:rsidRPr="009E4CF0">
        <w:rPr>
          <w:rFonts w:ascii="Sylfaen" w:hAnsi="Sylfaen"/>
        </w:rPr>
        <w:t xml:space="preserve"> AstraZeneca-</w:t>
      </w:r>
      <w:r w:rsidRPr="009E4CF0">
        <w:rPr>
          <w:rFonts w:ascii="Sylfaen" w:hAnsi="Sylfaen" w:cs="Sylfaen"/>
        </w:rPr>
        <w:t>ს</w:t>
      </w:r>
      <w:r w:rsidRPr="009E4CF0">
        <w:rPr>
          <w:rFonts w:ascii="Sylfaen" w:hAnsi="Sylfaen"/>
        </w:rPr>
        <w:t xml:space="preserve"> COVID-19 </w:t>
      </w:r>
      <w:r w:rsidRPr="009E4CF0">
        <w:rPr>
          <w:rFonts w:ascii="Sylfaen" w:hAnsi="Sylfaen" w:cs="Sylfaen"/>
        </w:rPr>
        <w:t>ვაქცინის</w:t>
      </w:r>
      <w:r w:rsidRPr="009E4CF0">
        <w:rPr>
          <w:rFonts w:ascii="Sylfaen" w:hAnsi="Sylfaen"/>
        </w:rPr>
        <w:t xml:space="preserve"> </w:t>
      </w:r>
      <w:r w:rsidRPr="009E4CF0">
        <w:rPr>
          <w:rFonts w:ascii="Sylfaen" w:hAnsi="Sylfaen" w:cs="Sylfaen"/>
        </w:rPr>
        <w:t>პირველი</w:t>
      </w:r>
      <w:r w:rsidRPr="009E4CF0">
        <w:rPr>
          <w:rFonts w:ascii="Sylfaen" w:hAnsi="Sylfaen"/>
        </w:rPr>
        <w:t xml:space="preserve"> </w:t>
      </w:r>
      <w:r w:rsidRPr="009E4CF0">
        <w:rPr>
          <w:rFonts w:ascii="Sylfaen" w:hAnsi="Sylfaen" w:cs="Sylfaen"/>
        </w:rPr>
        <w:t>დოზის</w:t>
      </w:r>
      <w:r w:rsidRPr="009E4CF0">
        <w:rPr>
          <w:rFonts w:ascii="Sylfaen" w:hAnsi="Sylfaen"/>
        </w:rPr>
        <w:t xml:space="preserve"> </w:t>
      </w:r>
      <w:r w:rsidRPr="009E4CF0">
        <w:rPr>
          <w:rFonts w:ascii="Sylfaen" w:hAnsi="Sylfaen" w:cs="Sylfaen"/>
        </w:rPr>
        <w:t>შემდეგ</w:t>
      </w:r>
      <w:r w:rsidRPr="009E4CF0">
        <w:rPr>
          <w:rFonts w:ascii="Sylfaen" w:hAnsi="Sylfaen"/>
        </w:rPr>
        <w:t xml:space="preserve">. </w:t>
      </w:r>
      <w:r w:rsidRPr="009E4CF0">
        <w:rPr>
          <w:rFonts w:ascii="Sylfaen" w:hAnsi="Sylfaen" w:cs="Sylfaen"/>
        </w:rPr>
        <w:t>მათი</w:t>
      </w:r>
      <w:r w:rsidRPr="009E4CF0">
        <w:rPr>
          <w:rFonts w:ascii="Sylfaen" w:hAnsi="Sylfaen"/>
        </w:rPr>
        <w:t xml:space="preserve"> </w:t>
      </w:r>
      <w:r w:rsidRPr="009E4CF0">
        <w:rPr>
          <w:rFonts w:ascii="Sylfaen" w:hAnsi="Sylfaen" w:cs="Sylfaen"/>
        </w:rPr>
        <w:t>მატება</w:t>
      </w:r>
      <w:r w:rsidRPr="009E4CF0">
        <w:rPr>
          <w:rFonts w:ascii="Sylfaen" w:hAnsi="Sylfaen"/>
        </w:rPr>
        <w:t xml:space="preserve"> </w:t>
      </w:r>
      <w:r w:rsidRPr="009E4CF0">
        <w:rPr>
          <w:rFonts w:ascii="Sylfaen" w:hAnsi="Sylfaen" w:cs="Sylfaen"/>
        </w:rPr>
        <w:t>აღარ</w:t>
      </w:r>
      <w:r w:rsidRPr="009E4CF0">
        <w:rPr>
          <w:rFonts w:ascii="Sylfaen" w:hAnsi="Sylfaen"/>
        </w:rPr>
        <w:t xml:space="preserve"> </w:t>
      </w:r>
      <w:r w:rsidRPr="009E4CF0">
        <w:rPr>
          <w:rFonts w:ascii="Sylfaen" w:hAnsi="Sylfaen" w:cs="Sylfaen"/>
        </w:rPr>
        <w:t>ხდება</w:t>
      </w:r>
      <w:r w:rsidRPr="009E4CF0">
        <w:rPr>
          <w:rFonts w:ascii="Sylfaen" w:hAnsi="Sylfaen"/>
        </w:rPr>
        <w:t xml:space="preserve"> </w:t>
      </w:r>
      <w:r w:rsidRPr="009E4CF0">
        <w:rPr>
          <w:rFonts w:ascii="Sylfaen" w:hAnsi="Sylfaen" w:cs="Sylfaen"/>
        </w:rPr>
        <w:t>მეორე</w:t>
      </w:r>
      <w:r w:rsidRPr="009E4CF0">
        <w:rPr>
          <w:rFonts w:ascii="Sylfaen" w:hAnsi="Sylfaen"/>
        </w:rPr>
        <w:t xml:space="preserve"> </w:t>
      </w:r>
      <w:r w:rsidRPr="009E4CF0">
        <w:rPr>
          <w:rFonts w:ascii="Sylfaen" w:hAnsi="Sylfaen" w:cs="Sylfaen"/>
        </w:rPr>
        <w:t>დოზის</w:t>
      </w:r>
      <w:r w:rsidRPr="009E4CF0">
        <w:rPr>
          <w:rFonts w:ascii="Sylfaen" w:hAnsi="Sylfaen"/>
        </w:rPr>
        <w:t xml:space="preserve"> </w:t>
      </w:r>
      <w:r w:rsidRPr="009E4CF0">
        <w:rPr>
          <w:rFonts w:ascii="Sylfaen" w:hAnsi="Sylfaen" w:cs="Sylfaen"/>
        </w:rPr>
        <w:t>მიღების</w:t>
      </w:r>
      <w:r w:rsidRPr="009E4CF0">
        <w:rPr>
          <w:rFonts w:ascii="Sylfaen" w:hAnsi="Sylfaen"/>
        </w:rPr>
        <w:t xml:space="preserve"> </w:t>
      </w:r>
      <w:r w:rsidRPr="009E4CF0">
        <w:rPr>
          <w:rFonts w:ascii="Sylfaen" w:hAnsi="Sylfaen" w:cs="Sylfaen"/>
        </w:rPr>
        <w:t>შემდეგ</w:t>
      </w:r>
      <w:r w:rsidRPr="009E4CF0">
        <w:rPr>
          <w:rFonts w:ascii="Sylfaen" w:hAnsi="Sylfaen"/>
        </w:rPr>
        <w:t>.</w:t>
      </w:r>
    </w:p>
    <w:p w:rsidR="00C933BB" w:rsidRPr="009E4CF0" w:rsidRDefault="00C933BB" w:rsidP="00B57BD2">
      <w:pPr>
        <w:pStyle w:val="BodyText"/>
        <w:spacing w:before="1"/>
        <w:jc w:val="both"/>
        <w:rPr>
          <w:rFonts w:ascii="Sylfaen" w:hAnsi="Sylfaen"/>
        </w:rPr>
      </w:pPr>
    </w:p>
    <w:p w:rsidR="00C933BB" w:rsidRPr="009E4CF0" w:rsidRDefault="00D12A93" w:rsidP="00B57BD2">
      <w:pPr>
        <w:pStyle w:val="BodyText"/>
        <w:ind w:left="115"/>
        <w:jc w:val="both"/>
        <w:rPr>
          <w:rFonts w:ascii="Sylfaen" w:hAnsi="Sylfaen"/>
        </w:rPr>
      </w:pPr>
      <w:r w:rsidRPr="009E4CF0">
        <w:rPr>
          <w:rFonts w:ascii="Sylfaen" w:hAnsi="Sylfaen"/>
          <w:u w:val="single"/>
        </w:rPr>
        <w:t>ბავშვთა პოპულაცია</w:t>
      </w:r>
    </w:p>
    <w:p w:rsidR="00C933BB" w:rsidRPr="009E4CF0" w:rsidRDefault="00C933BB" w:rsidP="00B57BD2">
      <w:pPr>
        <w:pStyle w:val="BodyText"/>
        <w:spacing w:before="10"/>
        <w:jc w:val="both"/>
        <w:rPr>
          <w:rFonts w:ascii="Sylfaen" w:hAnsi="Sylfaen"/>
          <w:sz w:val="13"/>
        </w:rPr>
      </w:pPr>
    </w:p>
    <w:p w:rsidR="00C933BB" w:rsidRPr="009E4CF0" w:rsidRDefault="00D12A93" w:rsidP="00B57BD2">
      <w:pPr>
        <w:pStyle w:val="BodyText"/>
        <w:spacing w:before="91"/>
        <w:ind w:left="115"/>
        <w:jc w:val="both"/>
        <w:rPr>
          <w:rFonts w:ascii="Sylfaen" w:hAnsi="Sylfaen"/>
        </w:rPr>
      </w:pPr>
      <w:r w:rsidRPr="009E4CF0">
        <w:rPr>
          <w:rFonts w:ascii="Sylfaen" w:hAnsi="Sylfaen"/>
        </w:rPr>
        <w:t>ბავშვებსა და 18 წლამდე ასაკის მოზარდებში AstraZeneca-ს COVID-19 ვაქცინის უსაფრთხოება და ეფექტურობა</w:t>
      </w:r>
    </w:p>
    <w:p w:rsidR="00C933BB" w:rsidRPr="009E4CF0" w:rsidRDefault="00D12A93" w:rsidP="00B57BD2">
      <w:pPr>
        <w:pStyle w:val="BodyText"/>
        <w:spacing w:before="2"/>
        <w:ind w:left="115"/>
        <w:jc w:val="both"/>
        <w:rPr>
          <w:rFonts w:ascii="Sylfaen" w:hAnsi="Sylfaen"/>
        </w:rPr>
      </w:pPr>
      <w:r w:rsidRPr="009E4CF0">
        <w:rPr>
          <w:rFonts w:ascii="Sylfaen" w:hAnsi="Sylfaen"/>
        </w:rPr>
        <w:t>ჯერჯერობით დადგენილი არ არის. მონაცემები ხელმისაწვდომი არ არის.</w:t>
      </w:r>
    </w:p>
    <w:p w:rsidR="00C933BB" w:rsidRPr="009E4CF0" w:rsidRDefault="00C933BB" w:rsidP="00B57BD2">
      <w:pPr>
        <w:pStyle w:val="BodyText"/>
        <w:jc w:val="both"/>
        <w:rPr>
          <w:rFonts w:ascii="Sylfaen" w:hAnsi="Sylfaen"/>
          <w:sz w:val="24"/>
        </w:rPr>
      </w:pPr>
    </w:p>
    <w:p w:rsidR="00C933BB" w:rsidRPr="009E4CF0" w:rsidRDefault="00C933BB" w:rsidP="00B57BD2">
      <w:pPr>
        <w:pStyle w:val="BodyText"/>
        <w:spacing w:before="4"/>
        <w:jc w:val="both"/>
        <w:rPr>
          <w:rFonts w:ascii="Sylfaen" w:hAnsi="Sylfaen"/>
          <w:sz w:val="20"/>
        </w:rPr>
      </w:pPr>
    </w:p>
    <w:p w:rsidR="00C933BB" w:rsidRPr="009E4CF0" w:rsidRDefault="00D12A93" w:rsidP="00B57BD2">
      <w:pPr>
        <w:pStyle w:val="Heading1"/>
        <w:numPr>
          <w:ilvl w:val="1"/>
          <w:numId w:val="1"/>
        </w:numPr>
        <w:tabs>
          <w:tab w:val="left" w:pos="682"/>
          <w:tab w:val="left" w:pos="683"/>
        </w:tabs>
        <w:ind w:hanging="568"/>
        <w:jc w:val="both"/>
        <w:rPr>
          <w:rFonts w:ascii="Sylfaen" w:hAnsi="Sylfaen"/>
        </w:rPr>
      </w:pPr>
      <w:r w:rsidRPr="009E4CF0">
        <w:rPr>
          <w:rFonts w:ascii="Sylfaen" w:hAnsi="Sylfaen"/>
        </w:rPr>
        <w:t>ფარმაკოკინეტიკური თვისებები</w:t>
      </w:r>
    </w:p>
    <w:p w:rsidR="00C933BB" w:rsidRPr="009E4CF0" w:rsidRDefault="00C933BB" w:rsidP="00B57BD2">
      <w:pPr>
        <w:pStyle w:val="BodyText"/>
        <w:spacing w:before="5"/>
        <w:jc w:val="both"/>
        <w:rPr>
          <w:rFonts w:ascii="Sylfaen" w:hAnsi="Sylfaen"/>
          <w:b/>
          <w:sz w:val="21"/>
        </w:rPr>
      </w:pPr>
    </w:p>
    <w:p w:rsidR="00C933BB" w:rsidRPr="009E4CF0" w:rsidRDefault="00D12A93" w:rsidP="00B57BD2">
      <w:pPr>
        <w:pStyle w:val="BodyText"/>
        <w:ind w:left="115"/>
        <w:jc w:val="both"/>
        <w:rPr>
          <w:rFonts w:ascii="Sylfaen" w:hAnsi="Sylfaen"/>
        </w:rPr>
      </w:pPr>
      <w:r w:rsidRPr="009E4CF0">
        <w:rPr>
          <w:rFonts w:ascii="Sylfaen" w:hAnsi="Sylfaen"/>
        </w:rPr>
        <w:t>არ დაიშვება.</w:t>
      </w:r>
    </w:p>
    <w:p w:rsidR="00C933BB" w:rsidRPr="009E4CF0" w:rsidRDefault="00C933BB" w:rsidP="00B57BD2">
      <w:pPr>
        <w:pStyle w:val="BodyText"/>
        <w:spacing w:before="7"/>
        <w:jc w:val="both"/>
        <w:rPr>
          <w:rFonts w:ascii="Sylfaen" w:hAnsi="Sylfaen"/>
        </w:rPr>
      </w:pPr>
    </w:p>
    <w:p w:rsidR="00C933BB" w:rsidRPr="009E4CF0" w:rsidRDefault="00D12A93" w:rsidP="00B57BD2">
      <w:pPr>
        <w:pStyle w:val="Heading1"/>
        <w:numPr>
          <w:ilvl w:val="1"/>
          <w:numId w:val="1"/>
        </w:numPr>
        <w:tabs>
          <w:tab w:val="left" w:pos="682"/>
          <w:tab w:val="left" w:pos="683"/>
        </w:tabs>
        <w:ind w:hanging="568"/>
        <w:jc w:val="both"/>
        <w:rPr>
          <w:rFonts w:ascii="Sylfaen" w:hAnsi="Sylfaen"/>
        </w:rPr>
      </w:pPr>
      <w:r w:rsidRPr="009E4CF0">
        <w:rPr>
          <w:rFonts w:ascii="Sylfaen" w:hAnsi="Sylfaen"/>
        </w:rPr>
        <w:t>მონაცემები პრეკლინიკური უსაფრთხოების შესახებ</w:t>
      </w:r>
    </w:p>
    <w:p w:rsidR="00C933BB" w:rsidRPr="009E4CF0" w:rsidRDefault="00C933BB" w:rsidP="00B57BD2">
      <w:pPr>
        <w:pStyle w:val="BodyText"/>
        <w:spacing w:before="5"/>
        <w:jc w:val="both"/>
        <w:rPr>
          <w:rFonts w:ascii="Sylfaen" w:hAnsi="Sylfaen"/>
          <w:b/>
          <w:sz w:val="21"/>
        </w:rPr>
      </w:pPr>
    </w:p>
    <w:p w:rsidR="00C933BB" w:rsidRPr="009E4CF0" w:rsidRDefault="00D12A93" w:rsidP="00B57BD2">
      <w:pPr>
        <w:pStyle w:val="BodyText"/>
        <w:ind w:left="115"/>
        <w:jc w:val="both"/>
        <w:rPr>
          <w:rFonts w:ascii="Sylfaen" w:hAnsi="Sylfaen"/>
        </w:rPr>
      </w:pPr>
      <w:r w:rsidRPr="009E4CF0">
        <w:rPr>
          <w:rFonts w:ascii="Sylfaen" w:hAnsi="Sylfaen"/>
          <w:u w:val="single"/>
        </w:rPr>
        <w:t>ტოქსიურობისა და ადგილობრივი ტოლერანტობის კვლევა</w:t>
      </w:r>
    </w:p>
    <w:p w:rsidR="00C933BB" w:rsidRPr="009E4CF0" w:rsidRDefault="00D12A93" w:rsidP="00D24E36">
      <w:pPr>
        <w:pStyle w:val="BodyText"/>
        <w:spacing w:before="1"/>
        <w:ind w:left="115" w:right="24"/>
        <w:jc w:val="both"/>
        <w:rPr>
          <w:rFonts w:ascii="Sylfaen" w:hAnsi="Sylfaen"/>
        </w:rPr>
      </w:pPr>
      <w:r w:rsidRPr="009E4CF0">
        <w:rPr>
          <w:rFonts w:ascii="Sylfaen" w:hAnsi="Sylfaen"/>
        </w:rPr>
        <w:t>არაკლინიკურმა მონაცემებმა, რომლებიც მიღებული იქნა ტოქსიკოლოგიური და ადგილობრივი ტოლერანტობის კვლევის შედეგად, საკვლევ ვაქცინასთან ერთად, რომელიც იყენებს იგივე ChAdOx1 ადენოვირუსული ვექტორის ვაქცინის ტექნოლოგიას, რასაც AstraZeneca-ს COVID 19 ვაქცინა, დაადგინა, რომ ChAdOx1 ტექნოლოგია კარგი ტოლერანტობით გამოირჩეოდა თაგვებში და არ იყო დაკავშირებული რაიმე გვერდით ეფექტებთან.</w:t>
      </w:r>
    </w:p>
    <w:p w:rsidR="00C933BB" w:rsidRPr="009E4CF0" w:rsidRDefault="00C933BB" w:rsidP="00B57BD2">
      <w:pPr>
        <w:pStyle w:val="BodyText"/>
        <w:spacing w:before="9"/>
        <w:jc w:val="both"/>
        <w:rPr>
          <w:rFonts w:ascii="Sylfaen" w:hAnsi="Sylfaen"/>
          <w:sz w:val="21"/>
        </w:rPr>
      </w:pPr>
    </w:p>
    <w:p w:rsidR="00C933BB" w:rsidRPr="009E4CF0" w:rsidRDefault="00D12A93" w:rsidP="00B57BD2">
      <w:pPr>
        <w:pStyle w:val="BodyText"/>
        <w:spacing w:before="1"/>
        <w:ind w:left="115"/>
        <w:jc w:val="both"/>
        <w:rPr>
          <w:rFonts w:ascii="Sylfaen" w:hAnsi="Sylfaen"/>
        </w:rPr>
      </w:pPr>
      <w:r w:rsidRPr="009E4CF0">
        <w:rPr>
          <w:rFonts w:ascii="Sylfaen" w:hAnsi="Sylfaen"/>
          <w:u w:val="single"/>
        </w:rPr>
        <w:t>მუტაგენურობა და კანცეროგენობა</w:t>
      </w:r>
    </w:p>
    <w:p w:rsidR="00C933BB" w:rsidRPr="009E4CF0" w:rsidRDefault="00D12A93" w:rsidP="00D24E36">
      <w:pPr>
        <w:pStyle w:val="BodyText"/>
        <w:tabs>
          <w:tab w:val="left" w:pos="8505"/>
        </w:tabs>
        <w:spacing w:before="1"/>
        <w:ind w:left="115" w:right="24"/>
        <w:jc w:val="both"/>
        <w:rPr>
          <w:rFonts w:ascii="Sylfaen" w:hAnsi="Sylfaen"/>
        </w:rPr>
      </w:pPr>
      <w:r w:rsidRPr="009E4CF0">
        <w:rPr>
          <w:rFonts w:ascii="Sylfaen" w:hAnsi="Sylfaen"/>
        </w:rPr>
        <w:t>AstraZeneca-ს COVID 19 ვაქცინა წარმოადგენს ვაქცინას, როგორც ასეთი, შესაბამისად მის მიმართაც გენოტოქსიკურობის (მუტაგენურობის) და კანცეროგენობის კვლევები არ ჩატარებულა.</w:t>
      </w:r>
    </w:p>
    <w:p w:rsidR="00C933BB" w:rsidRPr="009E4CF0" w:rsidRDefault="00C933BB" w:rsidP="00B57BD2">
      <w:pPr>
        <w:pStyle w:val="BodyText"/>
        <w:jc w:val="both"/>
        <w:rPr>
          <w:rFonts w:ascii="Sylfaen" w:hAnsi="Sylfaen"/>
          <w:sz w:val="24"/>
        </w:rPr>
      </w:pPr>
    </w:p>
    <w:p w:rsidR="00C933BB" w:rsidRPr="009E4CF0" w:rsidRDefault="00C933BB" w:rsidP="00B57BD2">
      <w:pPr>
        <w:pStyle w:val="BodyText"/>
        <w:spacing w:before="5"/>
        <w:jc w:val="both"/>
        <w:rPr>
          <w:rFonts w:ascii="Sylfaen" w:hAnsi="Sylfaen"/>
          <w:sz w:val="20"/>
        </w:rPr>
      </w:pPr>
    </w:p>
    <w:p w:rsidR="00C933BB" w:rsidRPr="009E4CF0" w:rsidRDefault="00D12A93" w:rsidP="00B57BD2">
      <w:pPr>
        <w:pStyle w:val="Heading1"/>
        <w:numPr>
          <w:ilvl w:val="0"/>
          <w:numId w:val="1"/>
        </w:numPr>
        <w:tabs>
          <w:tab w:val="left" w:pos="682"/>
          <w:tab w:val="left" w:pos="683"/>
        </w:tabs>
        <w:spacing w:before="1"/>
        <w:ind w:hanging="568"/>
        <w:jc w:val="both"/>
        <w:rPr>
          <w:rFonts w:ascii="Sylfaen" w:hAnsi="Sylfaen"/>
        </w:rPr>
      </w:pPr>
      <w:r w:rsidRPr="009E4CF0">
        <w:rPr>
          <w:rFonts w:ascii="Sylfaen" w:hAnsi="Sylfaen"/>
        </w:rPr>
        <w:t>ფარმაცევტული თავისებურებები</w:t>
      </w:r>
    </w:p>
    <w:p w:rsidR="00C933BB" w:rsidRPr="009E4CF0" w:rsidRDefault="00C933BB" w:rsidP="00B57BD2">
      <w:pPr>
        <w:pStyle w:val="BodyText"/>
        <w:spacing w:before="9"/>
        <w:jc w:val="both"/>
        <w:rPr>
          <w:rFonts w:ascii="Sylfaen" w:hAnsi="Sylfaen"/>
          <w:b/>
          <w:sz w:val="21"/>
        </w:rPr>
      </w:pPr>
    </w:p>
    <w:p w:rsidR="00C933BB" w:rsidRPr="009E4CF0" w:rsidRDefault="00D12A93" w:rsidP="00B57BD2">
      <w:pPr>
        <w:pStyle w:val="ListParagraph"/>
        <w:numPr>
          <w:ilvl w:val="1"/>
          <w:numId w:val="1"/>
        </w:numPr>
        <w:tabs>
          <w:tab w:val="left" w:pos="682"/>
          <w:tab w:val="left" w:pos="683"/>
        </w:tabs>
        <w:ind w:hanging="568"/>
        <w:jc w:val="both"/>
        <w:rPr>
          <w:rFonts w:ascii="Sylfaen" w:hAnsi="Sylfaen"/>
          <w:b/>
        </w:rPr>
      </w:pPr>
      <w:r w:rsidRPr="009E4CF0">
        <w:rPr>
          <w:rFonts w:ascii="Sylfaen" w:hAnsi="Sylfaen"/>
          <w:b/>
        </w:rPr>
        <w:t>კომპონენტების ჩამონათვალი</w:t>
      </w:r>
    </w:p>
    <w:p w:rsidR="00C933BB" w:rsidRPr="009E4CF0" w:rsidRDefault="00C933BB" w:rsidP="00B57BD2">
      <w:pPr>
        <w:pStyle w:val="BodyText"/>
        <w:spacing w:before="10"/>
        <w:jc w:val="both"/>
        <w:rPr>
          <w:rFonts w:ascii="Sylfaen" w:hAnsi="Sylfaen"/>
          <w:b/>
          <w:sz w:val="21"/>
        </w:rPr>
      </w:pPr>
    </w:p>
    <w:p w:rsidR="00C933BB" w:rsidRPr="009E4CF0" w:rsidRDefault="00D12A93" w:rsidP="00B57BD2">
      <w:pPr>
        <w:pStyle w:val="BodyText"/>
        <w:ind w:left="115"/>
        <w:jc w:val="both"/>
        <w:rPr>
          <w:rFonts w:ascii="Sylfaen" w:hAnsi="Sylfaen"/>
        </w:rPr>
      </w:pPr>
      <w:r w:rsidRPr="009E4CF0">
        <w:rPr>
          <w:rFonts w:ascii="Sylfaen" w:hAnsi="Sylfaen"/>
        </w:rPr>
        <w:t>L-ჰისტიდინი</w:t>
      </w:r>
    </w:p>
    <w:p w:rsidR="00C933BB" w:rsidRPr="009E4CF0" w:rsidRDefault="00D12A93" w:rsidP="00D24E36">
      <w:pPr>
        <w:pStyle w:val="BodyText"/>
        <w:spacing w:before="75"/>
        <w:ind w:left="115" w:right="-18"/>
        <w:jc w:val="both"/>
        <w:rPr>
          <w:rFonts w:ascii="Sylfaen" w:hAnsi="Sylfaen"/>
        </w:rPr>
      </w:pPr>
      <w:r w:rsidRPr="009E4CF0">
        <w:rPr>
          <w:rFonts w:ascii="Sylfaen" w:hAnsi="Sylfaen"/>
        </w:rPr>
        <w:t>L-ჰისტიდინის ჰიდროქლორიდის მონოჰიდრატი მაგნიუმის ქლორიდის ჰექსაჰიდრატ პოლისორბატი 80</w:t>
      </w:r>
      <w:r w:rsidR="00D24E36" w:rsidRPr="009E4CF0">
        <w:rPr>
          <w:rFonts w:ascii="Sylfaen" w:hAnsi="Sylfaen"/>
        </w:rPr>
        <w:t xml:space="preserve">, </w:t>
      </w:r>
    </w:p>
    <w:p w:rsidR="0020286E" w:rsidRDefault="00D12A93" w:rsidP="00D24E36">
      <w:pPr>
        <w:pStyle w:val="BodyText"/>
        <w:ind w:left="115" w:right="-25"/>
        <w:jc w:val="both"/>
        <w:rPr>
          <w:rFonts w:ascii="Sylfaen" w:hAnsi="Sylfaen"/>
        </w:rPr>
      </w:pPr>
      <w:r w:rsidRPr="009E4CF0">
        <w:rPr>
          <w:rFonts w:ascii="Sylfaen" w:hAnsi="Sylfaen"/>
        </w:rPr>
        <w:t>ეთანოლ</w:t>
      </w:r>
      <w:r w:rsidR="0020286E">
        <w:rPr>
          <w:rFonts w:ascii="Sylfaen" w:hAnsi="Sylfaen"/>
        </w:rPr>
        <w:t>ი</w:t>
      </w:r>
      <w:r w:rsidRPr="009E4CF0">
        <w:rPr>
          <w:rFonts w:ascii="Sylfaen" w:hAnsi="Sylfaen"/>
        </w:rPr>
        <w:t xml:space="preserve"> </w:t>
      </w:r>
    </w:p>
    <w:p w:rsidR="00C933BB" w:rsidRPr="009E4CF0" w:rsidRDefault="00D12A93" w:rsidP="00D24E36">
      <w:pPr>
        <w:pStyle w:val="BodyText"/>
        <w:ind w:left="115" w:right="-25"/>
        <w:jc w:val="both"/>
        <w:rPr>
          <w:rFonts w:ascii="Sylfaen" w:hAnsi="Sylfaen"/>
        </w:rPr>
      </w:pPr>
      <w:r w:rsidRPr="009E4CF0">
        <w:rPr>
          <w:rFonts w:ascii="Sylfaen" w:hAnsi="Sylfaen"/>
        </w:rPr>
        <w:t>საქაროზა</w:t>
      </w:r>
    </w:p>
    <w:p w:rsidR="00C933BB" w:rsidRPr="009E4CF0" w:rsidRDefault="00D12A93" w:rsidP="00B57BD2">
      <w:pPr>
        <w:pStyle w:val="BodyText"/>
        <w:spacing w:line="251" w:lineRule="exact"/>
        <w:ind w:left="115"/>
        <w:jc w:val="both"/>
        <w:rPr>
          <w:rFonts w:ascii="Sylfaen" w:hAnsi="Sylfaen"/>
        </w:rPr>
      </w:pPr>
      <w:r w:rsidRPr="009E4CF0">
        <w:rPr>
          <w:rFonts w:ascii="Sylfaen" w:hAnsi="Sylfaen"/>
        </w:rPr>
        <w:t>ნატრიუმის ქლორიდი</w:t>
      </w:r>
    </w:p>
    <w:p w:rsidR="0020286E" w:rsidRDefault="00D12A93" w:rsidP="00D24E36">
      <w:pPr>
        <w:pStyle w:val="BodyText"/>
        <w:tabs>
          <w:tab w:val="left" w:pos="2552"/>
        </w:tabs>
        <w:spacing w:before="1"/>
        <w:ind w:left="115" w:right="10"/>
        <w:jc w:val="both"/>
        <w:rPr>
          <w:rFonts w:ascii="Sylfaen" w:hAnsi="Sylfaen"/>
        </w:rPr>
      </w:pPr>
      <w:r w:rsidRPr="009E4CF0">
        <w:rPr>
          <w:rFonts w:ascii="Sylfaen" w:hAnsi="Sylfaen"/>
        </w:rPr>
        <w:t xml:space="preserve">დინატრიუმის ედეტატის დიჰიდრატი </w:t>
      </w:r>
    </w:p>
    <w:p w:rsidR="00C933BB" w:rsidRPr="009E4CF0" w:rsidRDefault="00D12A93" w:rsidP="00D24E36">
      <w:pPr>
        <w:pStyle w:val="BodyText"/>
        <w:tabs>
          <w:tab w:val="left" w:pos="2552"/>
        </w:tabs>
        <w:spacing w:before="1"/>
        <w:ind w:left="115" w:right="10"/>
        <w:jc w:val="both"/>
        <w:rPr>
          <w:rFonts w:ascii="Sylfaen" w:hAnsi="Sylfaen"/>
        </w:rPr>
      </w:pPr>
      <w:r w:rsidRPr="009E4CF0">
        <w:rPr>
          <w:rFonts w:ascii="Sylfaen" w:hAnsi="Sylfaen"/>
        </w:rPr>
        <w:t>საინექციო წყალი</w:t>
      </w:r>
    </w:p>
    <w:p w:rsidR="00C933BB" w:rsidRPr="009E4CF0" w:rsidRDefault="00C933BB" w:rsidP="00B57BD2">
      <w:pPr>
        <w:pStyle w:val="BodyText"/>
        <w:spacing w:before="4"/>
        <w:jc w:val="both"/>
        <w:rPr>
          <w:rFonts w:ascii="Sylfaen" w:hAnsi="Sylfaen"/>
        </w:rPr>
      </w:pPr>
    </w:p>
    <w:p w:rsidR="00C933BB" w:rsidRPr="009E4CF0" w:rsidRDefault="00D12A93" w:rsidP="00B57BD2">
      <w:pPr>
        <w:pStyle w:val="Heading1"/>
        <w:numPr>
          <w:ilvl w:val="1"/>
          <w:numId w:val="1"/>
        </w:numPr>
        <w:tabs>
          <w:tab w:val="left" w:pos="682"/>
          <w:tab w:val="left" w:pos="683"/>
        </w:tabs>
        <w:ind w:hanging="568"/>
        <w:jc w:val="both"/>
        <w:rPr>
          <w:rFonts w:ascii="Sylfaen" w:hAnsi="Sylfaen"/>
        </w:rPr>
      </w:pPr>
      <w:r w:rsidRPr="009E4CF0">
        <w:rPr>
          <w:rFonts w:ascii="Sylfaen" w:hAnsi="Sylfaen"/>
        </w:rPr>
        <w:t>არათავსებადობა</w:t>
      </w:r>
    </w:p>
    <w:p w:rsidR="00C933BB" w:rsidRPr="009E4CF0" w:rsidRDefault="00C933BB" w:rsidP="00B57BD2">
      <w:pPr>
        <w:pStyle w:val="BodyText"/>
        <w:spacing w:before="10"/>
        <w:jc w:val="both"/>
        <w:rPr>
          <w:rFonts w:ascii="Sylfaen" w:hAnsi="Sylfaen"/>
          <w:b/>
          <w:sz w:val="21"/>
        </w:rPr>
      </w:pPr>
    </w:p>
    <w:p w:rsidR="00C933BB" w:rsidRPr="009E4CF0" w:rsidRDefault="00D12A93" w:rsidP="00B57BD2">
      <w:pPr>
        <w:pStyle w:val="BodyText"/>
        <w:ind w:left="115"/>
        <w:jc w:val="both"/>
        <w:rPr>
          <w:rFonts w:ascii="Sylfaen" w:hAnsi="Sylfaen"/>
        </w:rPr>
      </w:pPr>
      <w:r w:rsidRPr="009E4CF0">
        <w:rPr>
          <w:rFonts w:ascii="Sylfaen" w:hAnsi="Sylfaen"/>
        </w:rPr>
        <w:t>თავსებადობის კვლევების არარსებობის შემთხვევაში, ვაქცინის შერევა სხვა სამკურნალო პრეპარატებთან აკრძალულია.</w:t>
      </w:r>
    </w:p>
    <w:p w:rsidR="00C933BB" w:rsidRPr="009E4CF0" w:rsidRDefault="00C933BB" w:rsidP="00B57BD2">
      <w:pPr>
        <w:pStyle w:val="BodyText"/>
        <w:spacing w:before="2"/>
        <w:jc w:val="both"/>
        <w:rPr>
          <w:rFonts w:ascii="Sylfaen" w:hAnsi="Sylfaen"/>
        </w:rPr>
      </w:pPr>
    </w:p>
    <w:p w:rsidR="00C933BB" w:rsidRPr="009E4CF0" w:rsidRDefault="00D12A93" w:rsidP="00B57BD2">
      <w:pPr>
        <w:pStyle w:val="Heading1"/>
        <w:numPr>
          <w:ilvl w:val="1"/>
          <w:numId w:val="1"/>
        </w:numPr>
        <w:tabs>
          <w:tab w:val="left" w:pos="682"/>
          <w:tab w:val="left" w:pos="683"/>
        </w:tabs>
        <w:spacing w:before="1"/>
        <w:ind w:hanging="568"/>
        <w:jc w:val="both"/>
        <w:rPr>
          <w:rFonts w:ascii="Sylfaen" w:hAnsi="Sylfaen"/>
        </w:rPr>
      </w:pPr>
      <w:r w:rsidRPr="009E4CF0">
        <w:rPr>
          <w:rFonts w:ascii="Sylfaen" w:hAnsi="Sylfaen"/>
        </w:rPr>
        <w:t>ვარგისიანობის ვადა</w:t>
      </w:r>
    </w:p>
    <w:p w:rsidR="00C933BB" w:rsidRPr="009E4CF0" w:rsidRDefault="00C933BB" w:rsidP="00B57BD2">
      <w:pPr>
        <w:pStyle w:val="BodyText"/>
        <w:jc w:val="both"/>
        <w:rPr>
          <w:rFonts w:ascii="Sylfaen" w:hAnsi="Sylfaen"/>
          <w:b/>
        </w:rPr>
      </w:pPr>
    </w:p>
    <w:p w:rsidR="00D24E36" w:rsidRPr="009E4CF0" w:rsidRDefault="00D12A93" w:rsidP="00D24E36">
      <w:pPr>
        <w:pStyle w:val="BodyText"/>
        <w:spacing w:line="237" w:lineRule="auto"/>
        <w:ind w:left="115" w:right="24"/>
        <w:jc w:val="both"/>
        <w:rPr>
          <w:rFonts w:ascii="Sylfaen" w:hAnsi="Sylfaen"/>
        </w:rPr>
      </w:pPr>
      <w:r w:rsidRPr="009E4CF0">
        <w:rPr>
          <w:rFonts w:ascii="Sylfaen" w:hAnsi="Sylfaen"/>
          <w:u w:val="single"/>
        </w:rPr>
        <w:t>გაუხსნელი მრავალდოზიანი ფლაკონი</w:t>
      </w:r>
      <w:r w:rsidRPr="009E4CF0">
        <w:rPr>
          <w:rFonts w:ascii="Sylfaen" w:hAnsi="Sylfaen"/>
        </w:rPr>
        <w:t xml:space="preserve"> </w:t>
      </w:r>
    </w:p>
    <w:p w:rsidR="00C933BB" w:rsidRPr="009E4CF0" w:rsidRDefault="00D12A93" w:rsidP="00D24E36">
      <w:pPr>
        <w:pStyle w:val="BodyText"/>
        <w:spacing w:line="237" w:lineRule="auto"/>
        <w:ind w:left="115" w:right="24"/>
        <w:jc w:val="both"/>
        <w:rPr>
          <w:rFonts w:ascii="Sylfaen" w:hAnsi="Sylfaen"/>
        </w:rPr>
      </w:pPr>
      <w:r w:rsidRPr="009E4CF0">
        <w:rPr>
          <w:rFonts w:ascii="Sylfaen" w:hAnsi="Sylfaen"/>
        </w:rPr>
        <w:t>6 თვე</w:t>
      </w:r>
    </w:p>
    <w:p w:rsidR="00C933BB" w:rsidRPr="009E4CF0" w:rsidRDefault="00C933BB" w:rsidP="00B57BD2">
      <w:pPr>
        <w:pStyle w:val="BodyText"/>
        <w:spacing w:before="2"/>
        <w:jc w:val="both"/>
        <w:rPr>
          <w:rFonts w:ascii="Sylfaen" w:hAnsi="Sylfaen"/>
        </w:rPr>
      </w:pPr>
    </w:p>
    <w:p w:rsidR="00C933BB" w:rsidRPr="009E4CF0" w:rsidRDefault="00D12A93" w:rsidP="00B57BD2">
      <w:pPr>
        <w:pStyle w:val="BodyText"/>
        <w:spacing w:line="251" w:lineRule="exact"/>
        <w:ind w:left="115"/>
        <w:jc w:val="both"/>
        <w:rPr>
          <w:rFonts w:ascii="Sylfaen" w:hAnsi="Sylfaen"/>
        </w:rPr>
      </w:pPr>
      <w:r w:rsidRPr="009E4CF0">
        <w:rPr>
          <w:rFonts w:ascii="Sylfaen" w:hAnsi="Sylfaen"/>
          <w:u w:val="single"/>
        </w:rPr>
        <w:t>გახსნილი მრავალდოზიანი ფლაკონი</w:t>
      </w:r>
    </w:p>
    <w:p w:rsidR="00C933BB" w:rsidRPr="009E4CF0" w:rsidRDefault="00D12A93" w:rsidP="00B57BD2">
      <w:pPr>
        <w:pStyle w:val="BodyText"/>
        <w:spacing w:line="251" w:lineRule="exact"/>
        <w:ind w:left="115"/>
        <w:jc w:val="both"/>
        <w:rPr>
          <w:rFonts w:ascii="Sylfaen" w:hAnsi="Sylfaen"/>
        </w:rPr>
      </w:pPr>
      <w:r w:rsidRPr="009E4CF0">
        <w:rPr>
          <w:rFonts w:ascii="Sylfaen" w:hAnsi="Sylfaen"/>
        </w:rPr>
        <w:t>გა</w:t>
      </w:r>
      <w:r w:rsidR="00886109" w:rsidRPr="009E4CF0">
        <w:rPr>
          <w:rFonts w:ascii="Sylfaen" w:hAnsi="Sylfaen"/>
        </w:rPr>
        <w:t>მოიყენეთ რაც შეიძლება სწრაფად გახსნიდან</w:t>
      </w:r>
      <w:r w:rsidRPr="009E4CF0">
        <w:rPr>
          <w:rFonts w:ascii="Sylfaen" w:hAnsi="Sylfaen"/>
        </w:rPr>
        <w:t xml:space="preserve"> 6 საათის </w:t>
      </w:r>
      <w:r w:rsidR="00886109" w:rsidRPr="009E4CF0">
        <w:rPr>
          <w:rFonts w:ascii="Sylfaen" w:hAnsi="Sylfaen"/>
        </w:rPr>
        <w:t>განმავლობაში.</w:t>
      </w:r>
    </w:p>
    <w:p w:rsidR="00C933BB" w:rsidRPr="009E4CF0" w:rsidRDefault="00D12A93" w:rsidP="00B57BD2">
      <w:pPr>
        <w:pStyle w:val="BodyText"/>
        <w:spacing w:before="2"/>
        <w:ind w:left="115"/>
        <w:jc w:val="both"/>
        <w:rPr>
          <w:rFonts w:ascii="Sylfaen" w:hAnsi="Sylfaen"/>
        </w:rPr>
      </w:pPr>
      <w:r w:rsidRPr="009E4CF0">
        <w:rPr>
          <w:rFonts w:ascii="Sylfaen" w:hAnsi="Sylfaen"/>
        </w:rPr>
        <w:t>ვაქცინა გამოყენების პერიოდში უნდა ინახებოდეს 2°C-დან 8°C-მდე ტემპერატურაზე.</w:t>
      </w:r>
    </w:p>
    <w:p w:rsidR="00C933BB" w:rsidRPr="009E4CF0" w:rsidRDefault="00C933BB" w:rsidP="00B57BD2">
      <w:pPr>
        <w:pStyle w:val="BodyText"/>
        <w:spacing w:before="2"/>
        <w:jc w:val="both"/>
        <w:rPr>
          <w:rFonts w:ascii="Sylfaen" w:hAnsi="Sylfaen"/>
        </w:rPr>
      </w:pPr>
    </w:p>
    <w:p w:rsidR="00C933BB" w:rsidRPr="009E4CF0" w:rsidRDefault="00D12A93" w:rsidP="00B57BD2">
      <w:pPr>
        <w:pStyle w:val="Heading1"/>
        <w:numPr>
          <w:ilvl w:val="1"/>
          <w:numId w:val="1"/>
        </w:numPr>
        <w:tabs>
          <w:tab w:val="left" w:pos="682"/>
          <w:tab w:val="left" w:pos="683"/>
        </w:tabs>
        <w:ind w:hanging="568"/>
        <w:jc w:val="both"/>
        <w:rPr>
          <w:rFonts w:ascii="Sylfaen" w:hAnsi="Sylfaen"/>
        </w:rPr>
      </w:pPr>
      <w:r w:rsidRPr="009E4CF0">
        <w:rPr>
          <w:rFonts w:ascii="Sylfaen" w:hAnsi="Sylfaen"/>
        </w:rPr>
        <w:t>შენახვის უსაფრთხოების სპეციალური ზომები</w:t>
      </w:r>
    </w:p>
    <w:p w:rsidR="00C933BB" w:rsidRPr="009E4CF0" w:rsidRDefault="00C933BB" w:rsidP="00B57BD2">
      <w:pPr>
        <w:pStyle w:val="BodyText"/>
        <w:spacing w:before="10"/>
        <w:jc w:val="both"/>
        <w:rPr>
          <w:rFonts w:ascii="Sylfaen" w:hAnsi="Sylfaen"/>
          <w:b/>
          <w:sz w:val="21"/>
        </w:rPr>
      </w:pPr>
    </w:p>
    <w:p w:rsidR="00C933BB" w:rsidRPr="009E4CF0" w:rsidRDefault="00D12A93" w:rsidP="00886109">
      <w:pPr>
        <w:pStyle w:val="BodyText"/>
        <w:ind w:left="115" w:right="24"/>
        <w:jc w:val="both"/>
        <w:rPr>
          <w:rFonts w:ascii="Sylfaen" w:hAnsi="Sylfaen"/>
        </w:rPr>
      </w:pPr>
      <w:r w:rsidRPr="009E4CF0">
        <w:rPr>
          <w:rFonts w:ascii="Sylfaen" w:hAnsi="Sylfaen"/>
        </w:rPr>
        <w:t>გაუხსნელი მრავალდოზიანი ფლაკონი შეინახეთ 2-8°C ტემპერატურაზე.</w:t>
      </w:r>
      <w:r w:rsidR="00886109" w:rsidRPr="009E4CF0">
        <w:rPr>
          <w:rFonts w:ascii="Sylfaen" w:hAnsi="Sylfaen"/>
        </w:rPr>
        <w:t xml:space="preserve"> </w:t>
      </w:r>
    </w:p>
    <w:p w:rsidR="00C933BB" w:rsidRPr="009E4CF0" w:rsidRDefault="00D12A93" w:rsidP="00B57BD2">
      <w:pPr>
        <w:pStyle w:val="BodyText"/>
        <w:spacing w:line="251" w:lineRule="exact"/>
        <w:ind w:left="115"/>
        <w:jc w:val="both"/>
        <w:rPr>
          <w:rFonts w:ascii="Sylfaen" w:hAnsi="Sylfaen"/>
        </w:rPr>
      </w:pPr>
      <w:r w:rsidRPr="009E4CF0">
        <w:rPr>
          <w:rFonts w:ascii="Sylfaen" w:hAnsi="Sylfaen"/>
        </w:rPr>
        <w:t>არ გაყინოთ.</w:t>
      </w:r>
    </w:p>
    <w:p w:rsidR="00C933BB" w:rsidRPr="009E4CF0" w:rsidRDefault="00D12A93" w:rsidP="00B57BD2">
      <w:pPr>
        <w:pStyle w:val="BodyText"/>
        <w:spacing w:before="1"/>
        <w:ind w:left="115"/>
        <w:jc w:val="both"/>
        <w:rPr>
          <w:rFonts w:ascii="Sylfaen" w:hAnsi="Sylfaen"/>
        </w:rPr>
      </w:pPr>
      <w:r w:rsidRPr="009E4CF0">
        <w:rPr>
          <w:rFonts w:ascii="Sylfaen" w:hAnsi="Sylfaen"/>
        </w:rPr>
        <w:t>ფლაკონი შეინახეთ გარეთა მუყაოს კოლოფში სინათლისგან დასაცავად.</w:t>
      </w:r>
    </w:p>
    <w:p w:rsidR="00C933BB" w:rsidRPr="009E4CF0" w:rsidRDefault="00C933BB" w:rsidP="00B57BD2">
      <w:pPr>
        <w:pStyle w:val="BodyText"/>
        <w:spacing w:before="10"/>
        <w:jc w:val="both"/>
        <w:rPr>
          <w:rFonts w:ascii="Sylfaen" w:hAnsi="Sylfaen"/>
          <w:sz w:val="21"/>
        </w:rPr>
      </w:pPr>
    </w:p>
    <w:p w:rsidR="00C933BB" w:rsidRPr="009E4CF0" w:rsidRDefault="00D12A93" w:rsidP="00B57BD2">
      <w:pPr>
        <w:pStyle w:val="BodyText"/>
        <w:ind w:left="115"/>
        <w:jc w:val="both"/>
        <w:rPr>
          <w:rFonts w:ascii="Sylfaen" w:hAnsi="Sylfaen"/>
        </w:rPr>
      </w:pPr>
      <w:r w:rsidRPr="009E4CF0">
        <w:rPr>
          <w:rFonts w:ascii="Sylfaen" w:hAnsi="Sylfaen"/>
          <w:u w:val="single"/>
        </w:rPr>
        <w:t>გახსნილი მრავალდოზიანი ფლაკონი</w:t>
      </w:r>
    </w:p>
    <w:p w:rsidR="00C933BB" w:rsidRPr="009E4CF0" w:rsidRDefault="00D12A93" w:rsidP="00B57BD2">
      <w:pPr>
        <w:pStyle w:val="BodyText"/>
        <w:spacing w:before="1"/>
        <w:ind w:left="115"/>
        <w:jc w:val="both"/>
        <w:rPr>
          <w:rFonts w:ascii="Sylfaen" w:hAnsi="Sylfaen"/>
        </w:rPr>
      </w:pPr>
      <w:r w:rsidRPr="009E4CF0">
        <w:rPr>
          <w:rFonts w:ascii="Sylfaen" w:hAnsi="Sylfaen"/>
        </w:rPr>
        <w:lastRenderedPageBreak/>
        <w:t>შენახვის პირობები სამკურნალო პრეპარატის პირველი გახ</w:t>
      </w:r>
      <w:r w:rsidR="009E4CF0">
        <w:rPr>
          <w:rFonts w:ascii="Sylfaen" w:hAnsi="Sylfaen"/>
        </w:rPr>
        <w:t>ს</w:t>
      </w:r>
      <w:r w:rsidRPr="009E4CF0">
        <w:rPr>
          <w:rFonts w:ascii="Sylfaen" w:hAnsi="Sylfaen"/>
        </w:rPr>
        <w:t>ნის შემდეგ, იხილეთ ნაწილში 6.3.</w:t>
      </w:r>
    </w:p>
    <w:p w:rsidR="00C933BB" w:rsidRPr="009E4CF0" w:rsidRDefault="00C933BB" w:rsidP="00B57BD2">
      <w:pPr>
        <w:pStyle w:val="BodyText"/>
        <w:spacing w:before="3"/>
        <w:jc w:val="both"/>
        <w:rPr>
          <w:rFonts w:ascii="Sylfaen" w:hAnsi="Sylfaen"/>
        </w:rPr>
      </w:pPr>
    </w:p>
    <w:p w:rsidR="00C933BB" w:rsidRPr="009E4CF0" w:rsidRDefault="00D12A93" w:rsidP="00B57BD2">
      <w:pPr>
        <w:pStyle w:val="Heading1"/>
        <w:numPr>
          <w:ilvl w:val="1"/>
          <w:numId w:val="1"/>
        </w:numPr>
        <w:tabs>
          <w:tab w:val="left" w:pos="682"/>
          <w:tab w:val="left" w:pos="683"/>
        </w:tabs>
        <w:ind w:hanging="568"/>
        <w:jc w:val="both"/>
        <w:rPr>
          <w:rFonts w:ascii="Sylfaen" w:hAnsi="Sylfaen"/>
        </w:rPr>
      </w:pPr>
      <w:r w:rsidRPr="009E4CF0">
        <w:rPr>
          <w:rFonts w:ascii="Sylfaen" w:hAnsi="Sylfaen"/>
        </w:rPr>
        <w:t xml:space="preserve">კონტეინერის </w:t>
      </w:r>
      <w:r w:rsidR="0020286E">
        <w:rPr>
          <w:rFonts w:ascii="Sylfaen" w:hAnsi="Sylfaen"/>
        </w:rPr>
        <w:t>ტიპი</w:t>
      </w:r>
      <w:r w:rsidR="0020286E" w:rsidRPr="009E4CF0">
        <w:rPr>
          <w:rFonts w:ascii="Sylfaen" w:hAnsi="Sylfaen"/>
        </w:rPr>
        <w:t xml:space="preserve"> </w:t>
      </w:r>
      <w:r w:rsidRPr="009E4CF0">
        <w:rPr>
          <w:rFonts w:ascii="Sylfaen" w:hAnsi="Sylfaen"/>
        </w:rPr>
        <w:t>და შემადგენლობა</w:t>
      </w:r>
    </w:p>
    <w:p w:rsidR="00C933BB" w:rsidRPr="009E4CF0" w:rsidRDefault="00C933BB" w:rsidP="00B57BD2">
      <w:pPr>
        <w:pStyle w:val="BodyText"/>
        <w:spacing w:before="10"/>
        <w:jc w:val="both"/>
        <w:rPr>
          <w:rFonts w:ascii="Sylfaen" w:hAnsi="Sylfaen"/>
          <w:b/>
          <w:sz w:val="21"/>
        </w:rPr>
      </w:pPr>
    </w:p>
    <w:p w:rsidR="00C933BB" w:rsidRPr="009E4CF0" w:rsidRDefault="00D12A93" w:rsidP="00B57BD2">
      <w:pPr>
        <w:pStyle w:val="BodyText"/>
        <w:ind w:left="115"/>
        <w:jc w:val="both"/>
        <w:rPr>
          <w:rFonts w:ascii="Sylfaen" w:hAnsi="Sylfaen"/>
        </w:rPr>
      </w:pPr>
      <w:r w:rsidRPr="009E4CF0">
        <w:rPr>
          <w:rFonts w:ascii="Sylfaen" w:hAnsi="Sylfaen"/>
          <w:u w:val="single"/>
        </w:rPr>
        <w:t>მრავალდოზიანი ფლაკონი</w:t>
      </w:r>
    </w:p>
    <w:p w:rsidR="00C933BB" w:rsidRPr="009E4CF0" w:rsidRDefault="00D12A93" w:rsidP="00886109">
      <w:pPr>
        <w:pStyle w:val="BodyText"/>
        <w:spacing w:before="3" w:line="237" w:lineRule="auto"/>
        <w:ind w:left="115" w:right="10"/>
        <w:jc w:val="both"/>
        <w:rPr>
          <w:rFonts w:ascii="Sylfaen" w:hAnsi="Sylfaen"/>
        </w:rPr>
      </w:pPr>
      <w:r w:rsidRPr="009E4CF0">
        <w:rPr>
          <w:rFonts w:ascii="Sylfaen" w:hAnsi="Sylfaen"/>
        </w:rPr>
        <w:t>5 მლ ხსნარი 10-დოზიან ფლაკონში (I ტიპის გამჭვირვალე მინა) საცობით (ელასტომერი ალუმინის საფარით). შეფუთვა შედგება 10 ფლაკონისგან.</w:t>
      </w:r>
    </w:p>
    <w:p w:rsidR="00C933BB" w:rsidRPr="009E4CF0" w:rsidRDefault="00C933BB" w:rsidP="00B57BD2">
      <w:pPr>
        <w:pStyle w:val="BodyText"/>
        <w:spacing w:before="3"/>
        <w:jc w:val="both"/>
        <w:rPr>
          <w:rFonts w:ascii="Sylfaen" w:hAnsi="Sylfaen"/>
        </w:rPr>
      </w:pPr>
    </w:p>
    <w:p w:rsidR="00C933BB" w:rsidRPr="009E4CF0" w:rsidRDefault="00D12A93" w:rsidP="00B57BD2">
      <w:pPr>
        <w:pStyle w:val="BodyText"/>
        <w:ind w:left="115"/>
        <w:jc w:val="both"/>
        <w:rPr>
          <w:rFonts w:ascii="Sylfaen" w:hAnsi="Sylfaen"/>
        </w:rPr>
      </w:pPr>
      <w:r w:rsidRPr="009E4CF0">
        <w:rPr>
          <w:rFonts w:ascii="Sylfaen" w:hAnsi="Sylfaen"/>
        </w:rPr>
        <w:t>შესაძლებელია, არ მოხდეს ყველა ზომის შეფუთვის გაყიდვა.</w:t>
      </w:r>
    </w:p>
    <w:p w:rsidR="00C933BB" w:rsidRPr="009E4CF0" w:rsidRDefault="00C933BB" w:rsidP="00B57BD2">
      <w:pPr>
        <w:pStyle w:val="BodyText"/>
        <w:spacing w:before="2"/>
        <w:jc w:val="both"/>
        <w:rPr>
          <w:rFonts w:ascii="Sylfaen" w:hAnsi="Sylfaen"/>
        </w:rPr>
      </w:pPr>
    </w:p>
    <w:p w:rsidR="00C933BB" w:rsidRPr="009E4CF0" w:rsidRDefault="00D12A93" w:rsidP="00B57BD2">
      <w:pPr>
        <w:pStyle w:val="Heading1"/>
        <w:numPr>
          <w:ilvl w:val="1"/>
          <w:numId w:val="1"/>
        </w:numPr>
        <w:tabs>
          <w:tab w:val="left" w:pos="682"/>
          <w:tab w:val="left" w:pos="683"/>
        </w:tabs>
        <w:spacing w:before="1"/>
        <w:ind w:hanging="568"/>
        <w:jc w:val="both"/>
        <w:rPr>
          <w:rFonts w:ascii="Sylfaen" w:hAnsi="Sylfaen"/>
        </w:rPr>
      </w:pPr>
      <w:r w:rsidRPr="009E4CF0">
        <w:rPr>
          <w:rFonts w:ascii="Sylfaen" w:hAnsi="Sylfaen"/>
        </w:rPr>
        <w:t>უსაფრთხოების სპეციალური ზომები უტილიზაციისა და სხვაგვარი მოპყრობისას</w:t>
      </w:r>
    </w:p>
    <w:p w:rsidR="00C933BB" w:rsidRPr="009E4CF0" w:rsidRDefault="00C933BB" w:rsidP="00B57BD2">
      <w:pPr>
        <w:pStyle w:val="BodyText"/>
        <w:spacing w:before="9"/>
        <w:jc w:val="both"/>
        <w:rPr>
          <w:rFonts w:ascii="Sylfaen" w:hAnsi="Sylfaen"/>
          <w:b/>
          <w:sz w:val="21"/>
        </w:rPr>
      </w:pPr>
    </w:p>
    <w:p w:rsidR="00C933BB" w:rsidRPr="009E4CF0" w:rsidRDefault="00D12A93" w:rsidP="00B57BD2">
      <w:pPr>
        <w:pStyle w:val="BodyText"/>
        <w:spacing w:line="251" w:lineRule="exact"/>
        <w:ind w:left="115"/>
        <w:jc w:val="both"/>
        <w:rPr>
          <w:rFonts w:ascii="Sylfaen" w:hAnsi="Sylfaen"/>
        </w:rPr>
      </w:pPr>
      <w:r w:rsidRPr="009E4CF0">
        <w:rPr>
          <w:rFonts w:ascii="Sylfaen" w:hAnsi="Sylfaen"/>
          <w:u w:val="single"/>
        </w:rPr>
        <w:t>გამოყენება</w:t>
      </w:r>
    </w:p>
    <w:p w:rsidR="00C933BB" w:rsidRPr="009E4CF0" w:rsidRDefault="00D12A93" w:rsidP="00886109">
      <w:pPr>
        <w:pStyle w:val="BodyText"/>
        <w:ind w:left="115" w:right="24"/>
        <w:jc w:val="both"/>
        <w:rPr>
          <w:rFonts w:ascii="Sylfaen" w:hAnsi="Sylfaen"/>
        </w:rPr>
      </w:pPr>
      <w:r w:rsidRPr="009E4CF0">
        <w:rPr>
          <w:rFonts w:ascii="Sylfaen" w:hAnsi="Sylfaen"/>
        </w:rPr>
        <w:t>AstraZeneca COVID-19 ვაქცინა არის უფერო ან ღია ყავისფერი, გამჭვირვალე ან ოდნავ მღვრიე ხსნარი. ვაქცინა გამოყენებამდე უნდა შემოწმდეს ვიზუალურად ნაწილაკებსა და გამჭვირვალობაზე. გადააგდეთ ფლაკონი, თუ ხსნარი გაუფერულდა ან შეიმჩნევა ხილული ნაწილაკები.  ფლაკონი არ შეანჯღრიოთ.</w:t>
      </w:r>
    </w:p>
    <w:p w:rsidR="00C933BB" w:rsidRPr="009E4CF0" w:rsidRDefault="00C933BB" w:rsidP="00B57BD2">
      <w:pPr>
        <w:pStyle w:val="BodyText"/>
        <w:spacing w:before="3"/>
        <w:jc w:val="both"/>
        <w:rPr>
          <w:rFonts w:ascii="Sylfaen" w:hAnsi="Sylfaen"/>
        </w:rPr>
      </w:pPr>
    </w:p>
    <w:p w:rsidR="00C933BB" w:rsidRPr="009E4CF0" w:rsidRDefault="00D12A93" w:rsidP="00886109">
      <w:pPr>
        <w:pStyle w:val="BodyText"/>
        <w:spacing w:line="237" w:lineRule="auto"/>
        <w:ind w:left="115" w:right="10"/>
        <w:jc w:val="both"/>
        <w:rPr>
          <w:rFonts w:ascii="Sylfaen" w:hAnsi="Sylfaen"/>
        </w:rPr>
      </w:pPr>
      <w:r w:rsidRPr="009E4CF0">
        <w:rPr>
          <w:rFonts w:ascii="Sylfaen" w:hAnsi="Sylfaen"/>
        </w:rPr>
        <w:t>ინექციისთვის შპრიცში ამოღებული ვაქცინის თითოეული 0.5 მლ-იანი დოზა უნდა გაკეთდეს კუნთში. გამოიყენეთ ცალკე სტერილური ნემსი ყველა პაციენტისთვის.</w:t>
      </w:r>
    </w:p>
    <w:p w:rsidR="00C933BB" w:rsidRPr="009E4CF0" w:rsidRDefault="00C933BB" w:rsidP="00B57BD2">
      <w:pPr>
        <w:pStyle w:val="BodyText"/>
        <w:spacing w:before="2"/>
        <w:jc w:val="both"/>
        <w:rPr>
          <w:rFonts w:ascii="Sylfaen" w:hAnsi="Sylfaen"/>
        </w:rPr>
      </w:pPr>
    </w:p>
    <w:p w:rsidR="00C933BB" w:rsidRPr="009E4CF0" w:rsidRDefault="00D12A93" w:rsidP="00955FF8">
      <w:pPr>
        <w:pStyle w:val="BodyText"/>
        <w:ind w:left="115" w:right="-32"/>
        <w:jc w:val="both"/>
        <w:rPr>
          <w:rFonts w:ascii="Sylfaen" w:hAnsi="Sylfaen"/>
        </w:rPr>
      </w:pPr>
      <w:r w:rsidRPr="009E4CF0">
        <w:rPr>
          <w:rFonts w:ascii="Sylfaen" w:hAnsi="Sylfaen"/>
        </w:rPr>
        <w:t xml:space="preserve">თითოეული ფლაკონი შეიცავს სულ მცირე, მითითებული დოზების რაოდენობას. ბოლო დოზის ამოღების შემდეგ ნორმალურია, რომ ფლაკონში სითხე დარჩეს. როდესაც გამოიყენება შპრიცები ან/და ნემსები მცირე მოცულობის </w:t>
      </w:r>
      <w:r w:rsidR="00905D7C">
        <w:rPr>
          <w:rFonts w:ascii="Sylfaen" w:hAnsi="Sylfaen"/>
        </w:rPr>
        <w:t>მკვდარი</w:t>
      </w:r>
      <w:r w:rsidR="00905D7C" w:rsidRPr="009E4CF0">
        <w:rPr>
          <w:rFonts w:ascii="Sylfaen" w:hAnsi="Sylfaen"/>
        </w:rPr>
        <w:t xml:space="preserve"> </w:t>
      </w:r>
      <w:r w:rsidRPr="009E4CF0">
        <w:rPr>
          <w:rFonts w:ascii="Sylfaen" w:hAnsi="Sylfaen"/>
        </w:rPr>
        <w:t xml:space="preserve">ზონით, შეიძლება ფლაკონში დარჩენილი რაოდენობა საკმარისი აღმოჩნდეს დამატებითი დოზისთვის. აუცილებელია სიფრთხილის </w:t>
      </w:r>
      <w:r w:rsidR="00955FF8" w:rsidRPr="009E4CF0">
        <w:rPr>
          <w:rFonts w:ascii="Sylfaen" w:hAnsi="Sylfaen"/>
        </w:rPr>
        <w:t xml:space="preserve">გამოჩენა, რომ </w:t>
      </w:r>
      <w:r w:rsidR="009E4CF0" w:rsidRPr="009E4CF0">
        <w:rPr>
          <w:rFonts w:ascii="Sylfaen" w:hAnsi="Sylfaen"/>
        </w:rPr>
        <w:t>ვაქცინაციის</w:t>
      </w:r>
      <w:r w:rsidRPr="009E4CF0">
        <w:rPr>
          <w:rFonts w:ascii="Sylfaen" w:hAnsi="Sylfaen"/>
        </w:rPr>
        <w:t xml:space="preserve"> დროს</w:t>
      </w:r>
      <w:r w:rsidR="00955FF8" w:rsidRPr="009E4CF0">
        <w:rPr>
          <w:rFonts w:ascii="Sylfaen" w:hAnsi="Sylfaen"/>
        </w:rPr>
        <w:t xml:space="preserve"> მოხდეს </w:t>
      </w:r>
      <w:r w:rsidRPr="009E4CF0">
        <w:rPr>
          <w:rFonts w:ascii="Sylfaen" w:hAnsi="Sylfaen"/>
        </w:rPr>
        <w:t>სრული 0.5 მლ დოზ</w:t>
      </w:r>
      <w:r w:rsidR="00955FF8" w:rsidRPr="009E4CF0">
        <w:rPr>
          <w:rFonts w:ascii="Sylfaen" w:hAnsi="Sylfaen"/>
        </w:rPr>
        <w:t>ის გამოყენება. თუ ფლაკონიდან</w:t>
      </w:r>
      <w:r w:rsidRPr="009E4CF0">
        <w:rPr>
          <w:rFonts w:ascii="Sylfaen" w:hAnsi="Sylfaen"/>
        </w:rPr>
        <w:t xml:space="preserve"> სრული 0.5 მლ დოზის ამოღება</w:t>
      </w:r>
      <w:r w:rsidR="00955FF8" w:rsidRPr="009E4CF0">
        <w:rPr>
          <w:rFonts w:ascii="Sylfaen" w:hAnsi="Sylfaen"/>
        </w:rPr>
        <w:t xml:space="preserve"> შეუძლებელია</w:t>
      </w:r>
      <w:r w:rsidRPr="009E4CF0">
        <w:rPr>
          <w:rFonts w:ascii="Sylfaen" w:hAnsi="Sylfaen"/>
        </w:rPr>
        <w:t xml:space="preserve">, აუცილებელია დარჩენილი დოზის </w:t>
      </w:r>
      <w:r w:rsidR="002F788C" w:rsidRPr="009E4CF0">
        <w:rPr>
          <w:rFonts w:ascii="Sylfaen" w:hAnsi="Sylfaen"/>
        </w:rPr>
        <w:t>განადგურება.</w:t>
      </w:r>
      <w:r w:rsidRPr="009E4CF0">
        <w:rPr>
          <w:rFonts w:ascii="Sylfaen" w:hAnsi="Sylfaen"/>
        </w:rPr>
        <w:t xml:space="preserve"> ნუ შეურევთ დარჩენილ ვაქცინას </w:t>
      </w:r>
      <w:r w:rsidR="002F788C" w:rsidRPr="009E4CF0">
        <w:rPr>
          <w:rFonts w:ascii="Sylfaen" w:hAnsi="Sylfaen"/>
        </w:rPr>
        <w:t>სხვა</w:t>
      </w:r>
      <w:r w:rsidRPr="009E4CF0">
        <w:rPr>
          <w:rFonts w:ascii="Sylfaen" w:hAnsi="Sylfaen"/>
        </w:rPr>
        <w:t xml:space="preserve"> ფლაკონ</w:t>
      </w:r>
      <w:r w:rsidR="002F788C" w:rsidRPr="009E4CF0">
        <w:rPr>
          <w:rFonts w:ascii="Sylfaen" w:hAnsi="Sylfaen"/>
        </w:rPr>
        <w:t>ებ</w:t>
      </w:r>
      <w:r w:rsidRPr="009E4CF0">
        <w:rPr>
          <w:rFonts w:ascii="Sylfaen" w:hAnsi="Sylfaen"/>
        </w:rPr>
        <w:t>ში.</w:t>
      </w:r>
    </w:p>
    <w:p w:rsidR="00C933BB" w:rsidRPr="009E4CF0" w:rsidRDefault="00D12A93" w:rsidP="002F788C">
      <w:pPr>
        <w:pStyle w:val="BodyText"/>
        <w:spacing w:before="75"/>
        <w:ind w:left="115" w:right="10"/>
        <w:jc w:val="both"/>
        <w:rPr>
          <w:rFonts w:ascii="Sylfaen" w:hAnsi="Sylfaen"/>
        </w:rPr>
      </w:pPr>
      <w:r w:rsidRPr="009E4CF0">
        <w:rPr>
          <w:rFonts w:ascii="Sylfaen" w:hAnsi="Sylfaen"/>
        </w:rPr>
        <w:t xml:space="preserve">ვაქცინა არ შეიცავს კონსერვანტებს. გამოიყენეთ ფლაკონი რაც შეიძლება </w:t>
      </w:r>
      <w:r w:rsidR="009E4CF0" w:rsidRPr="009E4CF0">
        <w:rPr>
          <w:rFonts w:ascii="Sylfaen" w:hAnsi="Sylfaen"/>
        </w:rPr>
        <w:t>სწრაფად</w:t>
      </w:r>
      <w:r w:rsidRPr="009E4CF0">
        <w:rPr>
          <w:rFonts w:ascii="Sylfaen" w:hAnsi="Sylfaen"/>
        </w:rPr>
        <w:t xml:space="preserve"> პირველი დოზის ამოღებიდან 6 საათის განმავლობაში (რომელიც ინახება 2-8°C ტემპერატურაზე). </w:t>
      </w:r>
      <w:r w:rsidR="002F788C" w:rsidRPr="009E4CF0">
        <w:rPr>
          <w:rFonts w:ascii="Sylfaen" w:hAnsi="Sylfaen"/>
        </w:rPr>
        <w:t xml:space="preserve">გაანადგურეთ </w:t>
      </w:r>
      <w:r w:rsidRPr="009E4CF0">
        <w:rPr>
          <w:rFonts w:ascii="Sylfaen" w:hAnsi="Sylfaen"/>
        </w:rPr>
        <w:t>ნებისმიერი გამოუყენებელი ვაქცინა.</w:t>
      </w:r>
    </w:p>
    <w:p w:rsidR="00C933BB" w:rsidRPr="009E4CF0" w:rsidRDefault="00C933BB" w:rsidP="00B57BD2">
      <w:pPr>
        <w:pStyle w:val="BodyText"/>
        <w:spacing w:before="11"/>
        <w:jc w:val="both"/>
        <w:rPr>
          <w:rFonts w:ascii="Sylfaen" w:hAnsi="Sylfaen"/>
          <w:sz w:val="21"/>
        </w:rPr>
      </w:pPr>
    </w:p>
    <w:p w:rsidR="00C933BB" w:rsidRPr="009E4CF0" w:rsidRDefault="00D12A93" w:rsidP="00886109">
      <w:pPr>
        <w:pStyle w:val="BodyText"/>
        <w:ind w:left="115" w:right="24"/>
        <w:jc w:val="both"/>
        <w:rPr>
          <w:rFonts w:ascii="Sylfaen" w:hAnsi="Sylfaen"/>
        </w:rPr>
      </w:pPr>
      <w:r w:rsidRPr="009E4CF0">
        <w:rPr>
          <w:rFonts w:ascii="Sylfaen" w:hAnsi="Sylfaen"/>
        </w:rPr>
        <w:t>ვაქცინის</w:t>
      </w:r>
      <w:r w:rsidR="00905D7C">
        <w:rPr>
          <w:rFonts w:ascii="Sylfaen" w:hAnsi="Sylfaen"/>
        </w:rPr>
        <w:t>თვის</w:t>
      </w:r>
      <w:r w:rsidRPr="009E4CF0">
        <w:rPr>
          <w:rFonts w:ascii="Sylfaen" w:hAnsi="Sylfaen"/>
        </w:rPr>
        <w:t xml:space="preserve"> </w:t>
      </w:r>
      <w:r w:rsidR="00905D7C">
        <w:rPr>
          <w:rFonts w:ascii="Sylfaen" w:hAnsi="Sylfaen"/>
        </w:rPr>
        <w:t>თვალყურის მიდევნების</w:t>
      </w:r>
      <w:r w:rsidR="00905D7C" w:rsidRPr="009E4CF0">
        <w:rPr>
          <w:rFonts w:ascii="Sylfaen" w:hAnsi="Sylfaen"/>
        </w:rPr>
        <w:t xml:space="preserve"> </w:t>
      </w:r>
      <w:r w:rsidRPr="009E4CF0">
        <w:rPr>
          <w:rFonts w:ascii="Sylfaen" w:hAnsi="Sylfaen"/>
        </w:rPr>
        <w:t>ხელშეწყობის მიზნით, გამოყენებული პროდუქტის სახელი და პარტიის ნომერი მკაფიოდ უნდა აღირიცხოს თითოეული რეციპიენტის შემთხვევაში.</w:t>
      </w:r>
    </w:p>
    <w:p w:rsidR="00C933BB" w:rsidRPr="009E4CF0" w:rsidRDefault="00C933BB" w:rsidP="00B57BD2">
      <w:pPr>
        <w:pStyle w:val="BodyText"/>
        <w:spacing w:before="11"/>
        <w:jc w:val="both"/>
        <w:rPr>
          <w:rFonts w:ascii="Sylfaen" w:hAnsi="Sylfaen"/>
          <w:sz w:val="21"/>
        </w:rPr>
      </w:pPr>
    </w:p>
    <w:p w:rsidR="00C933BB" w:rsidRPr="009E4CF0" w:rsidRDefault="00D12A93" w:rsidP="00B57BD2">
      <w:pPr>
        <w:pStyle w:val="BodyText"/>
        <w:ind w:left="115"/>
        <w:jc w:val="both"/>
        <w:rPr>
          <w:rFonts w:ascii="Sylfaen" w:hAnsi="Sylfaen"/>
        </w:rPr>
      </w:pPr>
      <w:r w:rsidRPr="009E4CF0">
        <w:rPr>
          <w:rFonts w:ascii="Sylfaen" w:hAnsi="Sylfaen"/>
          <w:u w:val="single"/>
        </w:rPr>
        <w:t>უტილიზაცია</w:t>
      </w:r>
    </w:p>
    <w:p w:rsidR="00C933BB" w:rsidRPr="009E4CF0" w:rsidRDefault="00D12A93" w:rsidP="00886109">
      <w:pPr>
        <w:pStyle w:val="BodyText"/>
        <w:spacing w:before="1"/>
        <w:ind w:left="115" w:right="10"/>
        <w:jc w:val="both"/>
        <w:rPr>
          <w:rFonts w:ascii="Sylfaen" w:hAnsi="Sylfaen"/>
        </w:rPr>
      </w:pPr>
      <w:r w:rsidRPr="009E4CF0">
        <w:rPr>
          <w:rFonts w:ascii="Sylfaen" w:hAnsi="Sylfaen"/>
        </w:rPr>
        <w:t>AstraZeneca-ს COVID-19 ვაქცინა შეიცავს გენეტიკურად მოდიფიცირებულ ორგანიზმებს (გმო). ნებისმიერი გამოუყენებელი ვაქცინის ან ნარჩენი მასალების უტილიზაცია უნდა მოხდეს ადგილობრივი მოთხოვნების შესაბამისად. ნებისმიერი დაღვრილი მასალის დეზინფექცია უნდა მოხდეს შესაბამისი ანტივირუსული დეზინფექტანტის მეშვეობით.</w:t>
      </w:r>
    </w:p>
    <w:p w:rsidR="00C933BB" w:rsidRPr="009E4CF0" w:rsidRDefault="00C933BB" w:rsidP="00B57BD2">
      <w:pPr>
        <w:pStyle w:val="BodyText"/>
        <w:jc w:val="both"/>
        <w:rPr>
          <w:rFonts w:ascii="Sylfaen" w:hAnsi="Sylfaen"/>
          <w:sz w:val="24"/>
        </w:rPr>
      </w:pPr>
    </w:p>
    <w:p w:rsidR="00C933BB" w:rsidRPr="009E4CF0" w:rsidRDefault="00C933BB" w:rsidP="00B57BD2">
      <w:pPr>
        <w:pStyle w:val="BodyText"/>
        <w:spacing w:before="3"/>
        <w:jc w:val="both"/>
        <w:rPr>
          <w:rFonts w:ascii="Sylfaen" w:hAnsi="Sylfaen"/>
          <w:sz w:val="20"/>
        </w:rPr>
      </w:pPr>
    </w:p>
    <w:p w:rsidR="00C933BB" w:rsidRPr="009E4CF0" w:rsidRDefault="00D12A93" w:rsidP="00886109">
      <w:pPr>
        <w:pStyle w:val="Heading1"/>
        <w:numPr>
          <w:ilvl w:val="0"/>
          <w:numId w:val="1"/>
        </w:numPr>
        <w:tabs>
          <w:tab w:val="left" w:pos="682"/>
          <w:tab w:val="left" w:pos="683"/>
          <w:tab w:val="left" w:pos="8364"/>
        </w:tabs>
        <w:ind w:right="24"/>
        <w:jc w:val="both"/>
        <w:rPr>
          <w:rFonts w:ascii="Sylfaen" w:hAnsi="Sylfaen"/>
        </w:rPr>
      </w:pPr>
      <w:r w:rsidRPr="009E4CF0">
        <w:rPr>
          <w:rFonts w:ascii="Sylfaen" w:hAnsi="Sylfaen"/>
        </w:rPr>
        <w:t>სამკურნალო საშუალების სარეგისტრაციო მოწმობის მფლობელი / საგანგებო სიტუაციაში გამოყენების დასტურის მფლობელი ან ექვივალენტი</w:t>
      </w:r>
    </w:p>
    <w:p w:rsidR="00C933BB" w:rsidRPr="009E4CF0" w:rsidRDefault="00C933BB" w:rsidP="00B57BD2">
      <w:pPr>
        <w:pStyle w:val="BodyText"/>
        <w:spacing w:before="11"/>
        <w:jc w:val="both"/>
        <w:rPr>
          <w:rFonts w:ascii="Sylfaen" w:hAnsi="Sylfaen"/>
          <w:b/>
          <w:sz w:val="21"/>
        </w:rPr>
      </w:pPr>
    </w:p>
    <w:p w:rsidR="00C933BB" w:rsidRPr="009E4CF0" w:rsidRDefault="00D12A93" w:rsidP="00B57BD2">
      <w:pPr>
        <w:pStyle w:val="BodyText"/>
        <w:spacing w:line="251" w:lineRule="exact"/>
        <w:ind w:left="115"/>
        <w:jc w:val="both"/>
        <w:rPr>
          <w:rFonts w:ascii="Sylfaen" w:hAnsi="Sylfaen"/>
        </w:rPr>
      </w:pPr>
      <w:r w:rsidRPr="009E4CF0">
        <w:rPr>
          <w:rFonts w:ascii="Sylfaen" w:hAnsi="Sylfaen"/>
        </w:rPr>
        <w:t>AstraZeneca AB</w:t>
      </w:r>
    </w:p>
    <w:p w:rsidR="00C933BB" w:rsidRPr="009E4CF0" w:rsidRDefault="00D12A93" w:rsidP="00955FF8">
      <w:pPr>
        <w:pStyle w:val="BodyText"/>
        <w:ind w:left="115" w:right="24"/>
        <w:jc w:val="both"/>
        <w:rPr>
          <w:rFonts w:ascii="Sylfaen" w:hAnsi="Sylfaen"/>
        </w:rPr>
      </w:pPr>
      <w:r w:rsidRPr="009E4CF0">
        <w:rPr>
          <w:rFonts w:ascii="Sylfaen" w:hAnsi="Sylfaen"/>
        </w:rPr>
        <w:t>SE-151 85 Södertälje Sweden</w:t>
      </w:r>
    </w:p>
    <w:p w:rsidR="00C933BB" w:rsidRPr="009E4CF0" w:rsidRDefault="00C933BB" w:rsidP="00B57BD2">
      <w:pPr>
        <w:pStyle w:val="BodyText"/>
        <w:jc w:val="both"/>
        <w:rPr>
          <w:rFonts w:ascii="Sylfaen" w:hAnsi="Sylfaen"/>
          <w:sz w:val="24"/>
        </w:rPr>
      </w:pPr>
    </w:p>
    <w:p w:rsidR="00C933BB" w:rsidRPr="009E4CF0" w:rsidRDefault="00C933BB" w:rsidP="00B57BD2">
      <w:pPr>
        <w:pStyle w:val="BodyText"/>
        <w:spacing w:before="4"/>
        <w:jc w:val="both"/>
        <w:rPr>
          <w:rFonts w:ascii="Sylfaen" w:hAnsi="Sylfaen"/>
          <w:sz w:val="20"/>
        </w:rPr>
      </w:pPr>
    </w:p>
    <w:p w:rsidR="00C933BB" w:rsidRPr="009E4CF0" w:rsidRDefault="00D12A93" w:rsidP="00B57BD2">
      <w:pPr>
        <w:pStyle w:val="Heading1"/>
        <w:numPr>
          <w:ilvl w:val="0"/>
          <w:numId w:val="1"/>
        </w:numPr>
        <w:tabs>
          <w:tab w:val="left" w:pos="682"/>
          <w:tab w:val="left" w:pos="683"/>
        </w:tabs>
        <w:ind w:right="249"/>
        <w:jc w:val="both"/>
        <w:rPr>
          <w:rFonts w:ascii="Sylfaen" w:hAnsi="Sylfaen"/>
        </w:rPr>
      </w:pPr>
      <w:r w:rsidRPr="009E4CF0">
        <w:rPr>
          <w:rFonts w:ascii="Sylfaen" w:hAnsi="Sylfaen"/>
        </w:rPr>
        <w:t xml:space="preserve">სამკურნალო საშუალების სარეგისტრაციო მოწმობის ნომერი (ნომრები) /საგანგებო </w:t>
      </w:r>
      <w:r w:rsidRPr="009E4CF0">
        <w:rPr>
          <w:rFonts w:ascii="Sylfaen" w:hAnsi="Sylfaen"/>
        </w:rPr>
        <w:lastRenderedPageBreak/>
        <w:t>სიტუაციაში გამოყენების დასტური ან ექვივალენტი</w:t>
      </w:r>
    </w:p>
    <w:p w:rsidR="00C933BB" w:rsidRPr="009E4CF0" w:rsidRDefault="00C933BB" w:rsidP="00B57BD2">
      <w:pPr>
        <w:pStyle w:val="BodyText"/>
        <w:jc w:val="both"/>
        <w:rPr>
          <w:rFonts w:ascii="Sylfaen" w:hAnsi="Sylfaen"/>
          <w:b/>
          <w:sz w:val="24"/>
        </w:rPr>
      </w:pPr>
    </w:p>
    <w:p w:rsidR="00C933BB" w:rsidRPr="009E4CF0" w:rsidRDefault="00C933BB" w:rsidP="00B57BD2">
      <w:pPr>
        <w:pStyle w:val="BodyText"/>
        <w:jc w:val="both"/>
        <w:rPr>
          <w:rFonts w:ascii="Sylfaen" w:hAnsi="Sylfaen"/>
          <w:b/>
          <w:sz w:val="24"/>
        </w:rPr>
      </w:pPr>
    </w:p>
    <w:p w:rsidR="00C933BB" w:rsidRPr="009E4CF0" w:rsidRDefault="00D12A93" w:rsidP="00B57BD2">
      <w:pPr>
        <w:pStyle w:val="ListParagraph"/>
        <w:numPr>
          <w:ilvl w:val="0"/>
          <w:numId w:val="1"/>
        </w:numPr>
        <w:tabs>
          <w:tab w:val="left" w:pos="682"/>
          <w:tab w:val="left" w:pos="683"/>
        </w:tabs>
        <w:spacing w:before="209"/>
        <w:ind w:hanging="568"/>
        <w:jc w:val="both"/>
        <w:rPr>
          <w:rFonts w:ascii="Sylfaen" w:hAnsi="Sylfaen"/>
          <w:b/>
        </w:rPr>
      </w:pPr>
      <w:r w:rsidRPr="009E4CF0">
        <w:rPr>
          <w:rFonts w:ascii="Sylfaen" w:hAnsi="Sylfaen"/>
          <w:b/>
        </w:rPr>
        <w:t>პირველი რეგისტრაციის თარიღი:</w:t>
      </w:r>
    </w:p>
    <w:p w:rsidR="00C933BB" w:rsidRPr="009E4CF0" w:rsidRDefault="00C933BB" w:rsidP="00B57BD2">
      <w:pPr>
        <w:pStyle w:val="BodyText"/>
        <w:spacing w:before="5"/>
        <w:jc w:val="both"/>
        <w:rPr>
          <w:rFonts w:ascii="Sylfaen" w:hAnsi="Sylfaen"/>
          <w:b/>
          <w:sz w:val="21"/>
        </w:rPr>
      </w:pPr>
    </w:p>
    <w:p w:rsidR="00C933BB" w:rsidRPr="009E4CF0" w:rsidRDefault="00D12A93" w:rsidP="00B57BD2">
      <w:pPr>
        <w:pStyle w:val="BodyText"/>
        <w:ind w:left="115"/>
        <w:jc w:val="both"/>
        <w:rPr>
          <w:rFonts w:ascii="Sylfaen" w:hAnsi="Sylfaen"/>
        </w:rPr>
      </w:pPr>
      <w:r w:rsidRPr="009E4CF0">
        <w:rPr>
          <w:rFonts w:ascii="Sylfaen" w:hAnsi="Sylfaen"/>
        </w:rPr>
        <w:t>პირველი რეგისტრაციის თარიღი: 2021 წლის 15 თებერვალი</w:t>
      </w:r>
    </w:p>
    <w:p w:rsidR="00C933BB" w:rsidRPr="009E4CF0" w:rsidRDefault="00C933BB" w:rsidP="00B57BD2">
      <w:pPr>
        <w:pStyle w:val="BodyText"/>
        <w:jc w:val="both"/>
        <w:rPr>
          <w:rFonts w:ascii="Sylfaen" w:hAnsi="Sylfaen"/>
          <w:sz w:val="24"/>
        </w:rPr>
      </w:pPr>
    </w:p>
    <w:p w:rsidR="00C933BB" w:rsidRPr="009E4CF0" w:rsidRDefault="00C933BB" w:rsidP="00B57BD2">
      <w:pPr>
        <w:pStyle w:val="BodyText"/>
        <w:spacing w:before="4"/>
        <w:jc w:val="both"/>
        <w:rPr>
          <w:rFonts w:ascii="Sylfaen" w:hAnsi="Sylfaen"/>
          <w:sz w:val="20"/>
        </w:rPr>
      </w:pPr>
    </w:p>
    <w:p w:rsidR="00C933BB" w:rsidRPr="009E4CF0" w:rsidRDefault="00D12A93" w:rsidP="00B57BD2">
      <w:pPr>
        <w:pStyle w:val="Heading1"/>
        <w:numPr>
          <w:ilvl w:val="0"/>
          <w:numId w:val="1"/>
        </w:numPr>
        <w:tabs>
          <w:tab w:val="left" w:pos="682"/>
          <w:tab w:val="left" w:pos="683"/>
        </w:tabs>
        <w:ind w:hanging="568"/>
        <w:jc w:val="both"/>
        <w:rPr>
          <w:rFonts w:ascii="Sylfaen" w:hAnsi="Sylfaen"/>
        </w:rPr>
      </w:pPr>
      <w:r w:rsidRPr="009E4CF0">
        <w:rPr>
          <w:rFonts w:ascii="Sylfaen" w:hAnsi="Sylfaen"/>
        </w:rPr>
        <w:t xml:space="preserve">ტექსტის </w:t>
      </w:r>
      <w:r w:rsidR="00955FF8" w:rsidRPr="009E4CF0">
        <w:rPr>
          <w:rFonts w:ascii="Sylfaen" w:hAnsi="Sylfaen"/>
        </w:rPr>
        <w:t>რედაქტირების</w:t>
      </w:r>
      <w:r w:rsidRPr="009E4CF0">
        <w:rPr>
          <w:rFonts w:ascii="Sylfaen" w:hAnsi="Sylfaen"/>
        </w:rPr>
        <w:t xml:space="preserve"> თარიღი</w:t>
      </w:r>
    </w:p>
    <w:sectPr w:rsidR="00C933BB" w:rsidRPr="009E4CF0" w:rsidSect="00B57BD2">
      <w:footerReference w:type="default" r:id="rId9"/>
      <w:pgSz w:w="11910" w:h="16840"/>
      <w:pgMar w:top="1040" w:right="1137" w:bottom="960" w:left="1300" w:header="0" w:footer="7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655" w:rsidRDefault="009A1655" w:rsidP="00C933BB">
      <w:r>
        <w:separator/>
      </w:r>
    </w:p>
  </w:endnote>
  <w:endnote w:type="continuationSeparator" w:id="0">
    <w:p w:rsidR="009A1655" w:rsidRDefault="009A1655" w:rsidP="00C9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A91" w:rsidRDefault="00A62A91">
    <w:pPr>
      <w:pStyle w:val="BodyText"/>
      <w:spacing w:line="14" w:lineRule="auto"/>
      <w:rPr>
        <w:sz w:val="20"/>
      </w:rPr>
    </w:pPr>
    <w:r>
      <w:rPr>
        <w:noProof/>
        <w:lang w:val="en-US" w:eastAsia="en-US" w:bidi="ar-SA"/>
      </w:rPr>
      <mc:AlternateContent>
        <mc:Choice Requires="wps">
          <w:drawing>
            <wp:anchor distT="0" distB="0" distL="114300" distR="114300" simplePos="0" relativeHeight="251657728" behindDoc="1" locked="0" layoutInCell="1" allowOverlap="1">
              <wp:simplePos x="0" y="0"/>
              <wp:positionH relativeFrom="page">
                <wp:posOffset>3671570</wp:posOffset>
              </wp:positionH>
              <wp:positionV relativeFrom="page">
                <wp:posOffset>10060305</wp:posOffset>
              </wp:positionV>
              <wp:extent cx="2165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A91" w:rsidRDefault="00A62A91">
                          <w:pPr>
                            <w:pStyle w:val="BodyText"/>
                            <w:spacing w:before="11"/>
                            <w:ind w:left="60"/>
                          </w:pPr>
                          <w:r>
                            <w:fldChar w:fldCharType="begin"/>
                          </w:r>
                          <w:r>
                            <w:instrText xml:space="preserve"> PAGE </w:instrText>
                          </w:r>
                          <w:r>
                            <w:fldChar w:fldCharType="separate"/>
                          </w:r>
                          <w:r w:rsidR="00757C9F">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1pt;margin-top:792.15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xu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" filled="f" stroked="f">
              <v:textbox inset="0,0,0,0">
                <w:txbxContent>
                  <w:p w:rsidR="00A62A91" w:rsidRDefault="00A62A91">
                    <w:pPr>
                      <w:pStyle w:val="BodyText"/>
                      <w:spacing w:before="11"/>
                      <w:ind w:left="60"/>
                    </w:pPr>
                    <w:r>
                      <w:fldChar w:fldCharType="begin"/>
                    </w:r>
                    <w:r>
                      <w:instrText xml:space="preserve"> PAGE </w:instrText>
                    </w:r>
                    <w:r>
                      <w:fldChar w:fldCharType="separate"/>
                    </w:r>
                    <w:r w:rsidR="00757C9F">
                      <w:rPr>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655" w:rsidRDefault="009A1655" w:rsidP="00C933BB">
      <w:r>
        <w:separator/>
      </w:r>
    </w:p>
  </w:footnote>
  <w:footnote w:type="continuationSeparator" w:id="0">
    <w:p w:rsidR="009A1655" w:rsidRDefault="009A1655" w:rsidP="00C93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F0046"/>
    <w:multiLevelType w:val="multilevel"/>
    <w:tmpl w:val="B94C4E58"/>
    <w:lvl w:ilvl="0">
      <w:start w:val="1"/>
      <w:numFmt w:val="decimal"/>
      <w:lvlText w:val="%1."/>
      <w:lvlJc w:val="left"/>
      <w:pPr>
        <w:ind w:left="682" w:hanging="567"/>
        <w:jc w:val="left"/>
      </w:pPr>
      <w:rPr>
        <w:rFonts w:ascii="Times New Roman" w:eastAsia="Times New Roman" w:hAnsi="Times New Roman" w:cs="Times New Roman" w:hint="default"/>
        <w:b/>
        <w:bCs/>
        <w:w w:val="100"/>
        <w:sz w:val="22"/>
        <w:szCs w:val="22"/>
        <w:lang w:val="en-US" w:eastAsia="en-US" w:bidi="ar-SA"/>
      </w:rPr>
    </w:lvl>
    <w:lvl w:ilvl="1">
      <w:start w:val="1"/>
      <w:numFmt w:val="decimal"/>
      <w:lvlText w:val="%1.%2"/>
      <w:lvlJc w:val="left"/>
      <w:pPr>
        <w:ind w:left="682" w:hanging="567"/>
        <w:jc w:val="left"/>
      </w:pPr>
      <w:rPr>
        <w:rFonts w:ascii="Times New Roman" w:eastAsia="Times New Roman" w:hAnsi="Times New Roman" w:cs="Times New Roman" w:hint="default"/>
        <w:b/>
        <w:bCs/>
        <w:spacing w:val="0"/>
        <w:w w:val="100"/>
        <w:sz w:val="22"/>
        <w:szCs w:val="22"/>
        <w:lang w:val="en-US" w:eastAsia="en-US" w:bidi="ar-SA"/>
      </w:rPr>
    </w:lvl>
    <w:lvl w:ilvl="2">
      <w:numFmt w:val="bullet"/>
      <w:lvlText w:val="•"/>
      <w:lvlJc w:val="left"/>
      <w:pPr>
        <w:ind w:left="2405" w:hanging="567"/>
      </w:pPr>
      <w:rPr>
        <w:rFonts w:hint="default"/>
        <w:lang w:val="en-US" w:eastAsia="en-US" w:bidi="ar-SA"/>
      </w:rPr>
    </w:lvl>
    <w:lvl w:ilvl="3">
      <w:numFmt w:val="bullet"/>
      <w:lvlText w:val="•"/>
      <w:lvlJc w:val="left"/>
      <w:pPr>
        <w:ind w:left="3267" w:hanging="567"/>
      </w:pPr>
      <w:rPr>
        <w:rFonts w:hint="default"/>
        <w:lang w:val="en-US" w:eastAsia="en-US" w:bidi="ar-SA"/>
      </w:rPr>
    </w:lvl>
    <w:lvl w:ilvl="4">
      <w:numFmt w:val="bullet"/>
      <w:lvlText w:val="•"/>
      <w:lvlJc w:val="left"/>
      <w:pPr>
        <w:ind w:left="4130" w:hanging="567"/>
      </w:pPr>
      <w:rPr>
        <w:rFonts w:hint="default"/>
        <w:lang w:val="en-US" w:eastAsia="en-US" w:bidi="ar-SA"/>
      </w:rPr>
    </w:lvl>
    <w:lvl w:ilvl="5">
      <w:numFmt w:val="bullet"/>
      <w:lvlText w:val="•"/>
      <w:lvlJc w:val="left"/>
      <w:pPr>
        <w:ind w:left="4992" w:hanging="567"/>
      </w:pPr>
      <w:rPr>
        <w:rFonts w:hint="default"/>
        <w:lang w:val="en-US" w:eastAsia="en-US" w:bidi="ar-SA"/>
      </w:rPr>
    </w:lvl>
    <w:lvl w:ilvl="6">
      <w:numFmt w:val="bullet"/>
      <w:lvlText w:val="•"/>
      <w:lvlJc w:val="left"/>
      <w:pPr>
        <w:ind w:left="5855" w:hanging="567"/>
      </w:pPr>
      <w:rPr>
        <w:rFonts w:hint="default"/>
        <w:lang w:val="en-US" w:eastAsia="en-US" w:bidi="ar-SA"/>
      </w:rPr>
    </w:lvl>
    <w:lvl w:ilvl="7">
      <w:numFmt w:val="bullet"/>
      <w:lvlText w:val="•"/>
      <w:lvlJc w:val="left"/>
      <w:pPr>
        <w:ind w:left="6717" w:hanging="567"/>
      </w:pPr>
      <w:rPr>
        <w:rFonts w:hint="default"/>
        <w:lang w:val="en-US" w:eastAsia="en-US" w:bidi="ar-SA"/>
      </w:rPr>
    </w:lvl>
    <w:lvl w:ilvl="8">
      <w:numFmt w:val="bullet"/>
      <w:lvlText w:val="•"/>
      <w:lvlJc w:val="left"/>
      <w:pPr>
        <w:ind w:left="7580" w:hanging="56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3BB"/>
    <w:rsid w:val="00025E27"/>
    <w:rsid w:val="00041CDD"/>
    <w:rsid w:val="00081DA3"/>
    <w:rsid w:val="00097F91"/>
    <w:rsid w:val="00176AA3"/>
    <w:rsid w:val="0020286E"/>
    <w:rsid w:val="002071EF"/>
    <w:rsid w:val="00223968"/>
    <w:rsid w:val="00295566"/>
    <w:rsid w:val="002F788C"/>
    <w:rsid w:val="00383D6F"/>
    <w:rsid w:val="003E474E"/>
    <w:rsid w:val="004B69F8"/>
    <w:rsid w:val="004F7B0D"/>
    <w:rsid w:val="005478EF"/>
    <w:rsid w:val="0057325A"/>
    <w:rsid w:val="00631025"/>
    <w:rsid w:val="00650A61"/>
    <w:rsid w:val="006839C5"/>
    <w:rsid w:val="00686647"/>
    <w:rsid w:val="007503AE"/>
    <w:rsid w:val="00757C9F"/>
    <w:rsid w:val="007C377F"/>
    <w:rsid w:val="00817657"/>
    <w:rsid w:val="008245B3"/>
    <w:rsid w:val="00855AF6"/>
    <w:rsid w:val="00886109"/>
    <w:rsid w:val="008B2D82"/>
    <w:rsid w:val="008B40AF"/>
    <w:rsid w:val="008D206B"/>
    <w:rsid w:val="008E3089"/>
    <w:rsid w:val="00905D7C"/>
    <w:rsid w:val="00955FF8"/>
    <w:rsid w:val="009667CD"/>
    <w:rsid w:val="009A1655"/>
    <w:rsid w:val="009C6F85"/>
    <w:rsid w:val="009E4CF0"/>
    <w:rsid w:val="009F03E7"/>
    <w:rsid w:val="00A01E91"/>
    <w:rsid w:val="00A62A91"/>
    <w:rsid w:val="00A9068F"/>
    <w:rsid w:val="00AF65B1"/>
    <w:rsid w:val="00B57BD2"/>
    <w:rsid w:val="00B93D65"/>
    <w:rsid w:val="00BF02F7"/>
    <w:rsid w:val="00C933BB"/>
    <w:rsid w:val="00D12A93"/>
    <w:rsid w:val="00D24E36"/>
    <w:rsid w:val="00DC6A0C"/>
    <w:rsid w:val="00E26E2A"/>
    <w:rsid w:val="00E84FD3"/>
    <w:rsid w:val="00E91B61"/>
    <w:rsid w:val="00EF3C13"/>
    <w:rsid w:val="00F066EC"/>
    <w:rsid w:val="00F4008C"/>
    <w:rsid w:val="00F54A35"/>
    <w:rsid w:val="00F83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28F630-3B83-4B4C-B88D-CD5D3418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ka-GE" w:bidi="ka-GE"/>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933BB"/>
    <w:rPr>
      <w:rFonts w:ascii="Times New Roman" w:eastAsia="Times New Roman" w:hAnsi="Times New Roman" w:cs="Times New Roman"/>
    </w:rPr>
  </w:style>
  <w:style w:type="paragraph" w:styleId="Heading1">
    <w:name w:val="heading 1"/>
    <w:basedOn w:val="Normal"/>
    <w:uiPriority w:val="1"/>
    <w:qFormat/>
    <w:rsid w:val="00C933BB"/>
    <w:pPr>
      <w:ind w:left="682" w:hanging="56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933BB"/>
  </w:style>
  <w:style w:type="paragraph" w:styleId="ListParagraph">
    <w:name w:val="List Paragraph"/>
    <w:basedOn w:val="Normal"/>
    <w:uiPriority w:val="1"/>
    <w:qFormat/>
    <w:rsid w:val="00C933BB"/>
    <w:pPr>
      <w:ind w:left="682" w:hanging="568"/>
    </w:pPr>
  </w:style>
  <w:style w:type="paragraph" w:customStyle="1" w:styleId="TableParagraph">
    <w:name w:val="Table Paragraph"/>
    <w:basedOn w:val="Normal"/>
    <w:uiPriority w:val="1"/>
    <w:qFormat/>
    <w:rsid w:val="00C933BB"/>
    <w:pPr>
      <w:ind w:left="188"/>
    </w:pPr>
  </w:style>
  <w:style w:type="paragraph" w:styleId="Header">
    <w:name w:val="header"/>
    <w:basedOn w:val="Normal"/>
    <w:link w:val="HeaderChar"/>
    <w:uiPriority w:val="99"/>
    <w:semiHidden/>
    <w:unhideWhenUsed/>
    <w:rsid w:val="009E4CF0"/>
    <w:pPr>
      <w:tabs>
        <w:tab w:val="center" w:pos="4680"/>
        <w:tab w:val="right" w:pos="9360"/>
      </w:tabs>
    </w:pPr>
  </w:style>
  <w:style w:type="character" w:customStyle="1" w:styleId="HeaderChar">
    <w:name w:val="Header Char"/>
    <w:basedOn w:val="DefaultParagraphFont"/>
    <w:link w:val="Header"/>
    <w:uiPriority w:val="99"/>
    <w:semiHidden/>
    <w:rsid w:val="009E4CF0"/>
    <w:rPr>
      <w:rFonts w:ascii="Times New Roman" w:eastAsia="Times New Roman" w:hAnsi="Times New Roman" w:cs="Times New Roman"/>
    </w:rPr>
  </w:style>
  <w:style w:type="paragraph" w:styleId="Footer">
    <w:name w:val="footer"/>
    <w:basedOn w:val="Normal"/>
    <w:link w:val="FooterChar"/>
    <w:uiPriority w:val="99"/>
    <w:semiHidden/>
    <w:unhideWhenUsed/>
    <w:rsid w:val="009E4CF0"/>
    <w:pPr>
      <w:tabs>
        <w:tab w:val="center" w:pos="4680"/>
        <w:tab w:val="right" w:pos="9360"/>
      </w:tabs>
    </w:pPr>
  </w:style>
  <w:style w:type="character" w:customStyle="1" w:styleId="FooterChar">
    <w:name w:val="Footer Char"/>
    <w:basedOn w:val="DefaultParagraphFont"/>
    <w:link w:val="Footer"/>
    <w:uiPriority w:val="99"/>
    <w:semiHidden/>
    <w:rsid w:val="009E4CF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54A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A3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vax.azcovid-19.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E69CA-3DEF-4E1A-A8E2-54C571FC9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3755</Words>
  <Characters>21408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Hqrdtemplatecleanen v10.1</vt:lpstr>
    </vt:vector>
  </TitlesOfParts>
  <Company>CtrlSoft</Company>
  <LinksUpToDate>false</LinksUpToDate>
  <CharactersWithSpaces>25113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Hqrdtemplatecleanen v10.1</dc:title>
  <dc:creator>European Medicines Agency</dc:creator>
  <cp:lastModifiedBy>NCDC</cp:lastModifiedBy>
  <cp:revision>11</cp:revision>
  <dcterms:created xsi:type="dcterms:W3CDTF">2021-03-12T08:03:00Z</dcterms:created>
  <dcterms:modified xsi:type="dcterms:W3CDTF">2021-03-14T18:04:00Z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Aspose Ltd.</vt:lpwstr>
  </property>
  <property fmtid="{D5CDD505-2E9C-101B-9397-08002B2CF9AE}" pid="4" name="LastSaved">
    <vt:filetime>2021-02-21T00:00:00Z</vt:filetime>
  </property>
</Properties>
</file>