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AB7" w:rsidRDefault="008C5AB7" w:rsidP="008C5AB7">
      <w:pPr>
        <w:rPr>
          <w:rFonts w:ascii="Sylfaen" w:hAnsi="Sylfaen"/>
          <w:b/>
          <w:noProof/>
          <w:sz w:val="24"/>
          <w:szCs w:val="24"/>
        </w:rPr>
      </w:pPr>
      <w:r>
        <w:rPr>
          <w:rFonts w:ascii="Sylfaen" w:eastAsia="AcadNusx" w:hAnsi="Sylfaen" w:cs="Sylfaen"/>
          <w:noProof/>
          <w:sz w:val="24"/>
          <w:szCs w:val="24"/>
        </w:rPr>
        <mc:AlternateContent>
          <mc:Choice Requires="wpg">
            <w:drawing>
              <wp:anchor distT="0" distB="0" distL="114300" distR="114300" simplePos="0" relativeHeight="251660288" behindDoc="0" locked="0" layoutInCell="1" allowOverlap="1" wp14:anchorId="112AB269" wp14:editId="2E0B1739">
                <wp:simplePos x="0" y="0"/>
                <wp:positionH relativeFrom="page">
                  <wp:align>right</wp:align>
                </wp:positionH>
                <wp:positionV relativeFrom="paragraph">
                  <wp:posOffset>-533400</wp:posOffset>
                </wp:positionV>
                <wp:extent cx="7591425" cy="3521075"/>
                <wp:effectExtent l="0" t="19050" r="47625" b="6032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1425" cy="3521075"/>
                          <a:chOff x="1070" y="1284"/>
                          <a:chExt cx="10695" cy="4165"/>
                        </a:xfrm>
                      </wpg:grpSpPr>
                      <wps:wsp>
                        <wps:cNvPr id="19" name="AutoShape 25"/>
                        <wps:cNvCnPr>
                          <a:cxnSpLocks noChangeShapeType="1"/>
                        </wps:cNvCnPr>
                        <wps:spPr bwMode="auto">
                          <a:xfrm rot="5400000">
                            <a:off x="4406" y="3403"/>
                            <a:ext cx="4090" cy="1"/>
                          </a:xfrm>
                          <a:prstGeom prst="bentConnector3">
                            <a:avLst>
                              <a:gd name="adj1" fmla="val 51856"/>
                            </a:avLst>
                          </a:prstGeom>
                          <a:noFill/>
                          <a:ln w="25400">
                            <a:solidFill>
                              <a:srgbClr val="548DD4"/>
                            </a:solidFill>
                            <a:prstDash val="sysDot"/>
                            <a:miter lim="800000"/>
                            <a:headEnd/>
                            <a:tailEnd/>
                          </a:ln>
                          <a:extLst>
                            <a:ext uri="{909E8E84-426E-40DD-AFC4-6F175D3DCCD1}">
                              <a14:hiddenFill xmlns:a14="http://schemas.microsoft.com/office/drawing/2010/main">
                                <a:noFill/>
                              </a14:hiddenFill>
                            </a:ext>
                          </a:extLst>
                        </wps:spPr>
                        <wps:bodyPr/>
                      </wps:wsp>
                      <wpg:grpSp>
                        <wpg:cNvPr id="20" name="Group 10"/>
                        <wpg:cNvGrpSpPr>
                          <a:grpSpLocks/>
                        </wpg:cNvGrpSpPr>
                        <wpg:grpSpPr bwMode="auto">
                          <a:xfrm>
                            <a:off x="1070" y="1284"/>
                            <a:ext cx="10695" cy="225"/>
                            <a:chOff x="316" y="5018"/>
                            <a:chExt cx="11392" cy="2"/>
                          </a:xfrm>
                        </wpg:grpSpPr>
                        <wps:wsp>
                          <wps:cNvPr id="21" name="Freeform 11"/>
                          <wps:cNvSpPr>
                            <a:spLocks/>
                          </wps:cNvSpPr>
                          <wps:spPr bwMode="auto">
                            <a:xfrm>
                              <a:off x="316" y="5018"/>
                              <a:ext cx="11392" cy="2"/>
                            </a:xfrm>
                            <a:custGeom>
                              <a:avLst/>
                              <a:gdLst>
                                <a:gd name="T0" fmla="*/ 0 w 10800"/>
                                <a:gd name="T1" fmla="*/ 0 h 2"/>
                                <a:gd name="T2" fmla="*/ 10800 w 10800"/>
                                <a:gd name="T3" fmla="*/ 0 h 2"/>
                                <a:gd name="T4" fmla="*/ 0 60000 65536"/>
                                <a:gd name="T5" fmla="*/ 0 60000 65536"/>
                              </a:gdLst>
                              <a:ahLst/>
                              <a:cxnLst>
                                <a:cxn ang="T4">
                                  <a:pos x="T0" y="T1"/>
                                </a:cxn>
                                <a:cxn ang="T5">
                                  <a:pos x="T2" y="T3"/>
                                </a:cxn>
                              </a:cxnLst>
                              <a:rect l="0" t="0" r="r" b="b"/>
                              <a:pathLst>
                                <a:path w="10800" h="2">
                                  <a:moveTo>
                                    <a:pt x="0" y="0"/>
                                  </a:moveTo>
                                  <a:lnTo>
                                    <a:pt x="10800" y="0"/>
                                  </a:lnTo>
                                </a:path>
                              </a:pathLst>
                            </a:custGeom>
                            <a:solidFill>
                              <a:srgbClr val="8DB3E2"/>
                            </a:solidFill>
                            <a:ln w="38100">
                              <a:solidFill>
                                <a:srgbClr val="0D49AB"/>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g:grpSp>
                      <wpg:grpSp>
                        <wpg:cNvPr id="24" name="Group 6"/>
                        <wpg:cNvGrpSpPr>
                          <a:grpSpLocks/>
                        </wpg:cNvGrpSpPr>
                        <wpg:grpSpPr bwMode="auto">
                          <a:xfrm flipV="1">
                            <a:off x="1160" y="5374"/>
                            <a:ext cx="10530" cy="71"/>
                            <a:chOff x="636" y="5018"/>
                            <a:chExt cx="10800" cy="2"/>
                          </a:xfrm>
                        </wpg:grpSpPr>
                        <wps:wsp>
                          <wps:cNvPr id="7" name="Freeform 11"/>
                          <wps:cNvSpPr>
                            <a:spLocks/>
                          </wps:cNvSpPr>
                          <wps:spPr bwMode="auto">
                            <a:xfrm>
                              <a:off x="636" y="5018"/>
                              <a:ext cx="10800" cy="2"/>
                            </a:xfrm>
                            <a:custGeom>
                              <a:avLst/>
                              <a:gdLst>
                                <a:gd name="T0" fmla="*/ 0 w 10800"/>
                                <a:gd name="T1" fmla="*/ 0 h 2"/>
                                <a:gd name="T2" fmla="*/ 10800 w 10800"/>
                                <a:gd name="T3" fmla="*/ 0 h 2"/>
                                <a:gd name="T4" fmla="*/ 0 60000 65536"/>
                                <a:gd name="T5" fmla="*/ 0 60000 65536"/>
                              </a:gdLst>
                              <a:ahLst/>
                              <a:cxnLst>
                                <a:cxn ang="T4">
                                  <a:pos x="T0" y="T1"/>
                                </a:cxn>
                                <a:cxn ang="T5">
                                  <a:pos x="T2" y="T3"/>
                                </a:cxn>
                              </a:cxnLst>
                              <a:rect l="0" t="0" r="r" b="b"/>
                              <a:pathLst>
                                <a:path w="10800" h="2">
                                  <a:moveTo>
                                    <a:pt x="0" y="0"/>
                                  </a:moveTo>
                                  <a:lnTo>
                                    <a:pt x="10800" y="0"/>
                                  </a:lnTo>
                                </a:path>
                              </a:pathLst>
                            </a:custGeom>
                            <a:solidFill>
                              <a:srgbClr val="8DB3E2"/>
                            </a:solidFill>
                            <a:ln w="38100">
                              <a:solidFill>
                                <a:srgbClr val="0D49AB"/>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54F949" id="Group 18" o:spid="_x0000_s1026" style="position:absolute;margin-left:546.55pt;margin-top:-42pt;width:597.75pt;height:277.25pt;z-index:251660288;mso-position-horizontal:right;mso-position-horizontal-relative:page" coordorigin="1070,1284" coordsize="10695,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27" type="#_x0000_t34" style="position:absolute;left:4406;top:3403;width:40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9wo8AAAADbAAAADwAAAGRycy9kb3ducmV2LnhtbERP32vCMBB+H/g/hBN8m4kiY9amIsrA&#10;13VD8O1Izra2uZQmq91/vwwGe7uP7+fl+8l1YqQhNJ41rJYKBLHxtuFKw+fH2/MriBCRLXaeScM3&#10;BdgXs6ccM+sf/E5jGSuRQjhkqKGOsc+kDKYmh2Hpe+LE3fzgMCY4VNIO+EjhrpNrpV6kw4ZTQ409&#10;HWsybfnlNFxtuJim26i+rNRqvLens2pPWi/m02EHItIU/8V/7rNN87fw+0s6QB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cKPAAAAA2wAAAA8AAAAAAAAAAAAAAAAA&#10;oQIAAGRycy9kb3ducmV2LnhtbFBLBQYAAAAABAAEAPkAAACOAwAAAAA=&#10;" adj="11201" strokecolor="#548dd4" strokeweight="2pt">
                  <v:stroke dashstyle="1 1"/>
                </v:shape>
                <v:group id="Group 10" o:spid="_x0000_s1028" style="position:absolute;left:1070;top:1284;width:10695;height:225" coordorigin="316,5018" coordsize="113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1" o:spid="_x0000_s1029" style="position:absolute;left:316;top:5018;width:11392;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cKsYA&#10;AADbAAAADwAAAGRycy9kb3ducmV2LnhtbESPQWvCQBSE74X+h+UVepFmowcpqRspFsHGFGnqocdH&#10;9pmEZt/G7Griv3cFocdhZr5hFsvRtOJMvWssK5hGMQji0uqGKwX7n/XLKwjnkTW2lknBhRws08eH&#10;BSbaDvxN58JXIkDYJaig9r5LpHRlTQZdZDvi4B1sb9AH2VdS9zgEuGnlLI7n0mDDYaHGjlY1lX/F&#10;ySjIcbc95vJ3yFaf+zz7mOjssPlS6vlpfH8D4Wn0/+F7e6MVzKZw+xJ+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XcKsYAAADbAAAADwAAAAAAAAAAAAAAAACYAgAAZHJz&#10;L2Rvd25yZXYueG1sUEsFBgAAAAAEAAQA9QAAAIsDAAAAAA==&#10;" path="m,l10800,e" fillcolor="#8db3e2" strokecolor="#0d49ab" strokeweight="3pt">
                    <v:shadow on="t" color="#243f60" opacity=".5" offset="1pt"/>
                    <v:path arrowok="t" o:connecttype="custom" o:connectlocs="0,0;11392,0" o:connectangles="0,0"/>
                  </v:shape>
                </v:group>
                <v:group id="Group 6" o:spid="_x0000_s1030" style="position:absolute;left:1160;top:5374;width:10530;height:71;flip:y" coordorigin="636,5018"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69ao7CAAAA2wAAAA8A&#10;AAAAAAAAAAAAAAAAqgIAAGRycy9kb3ducmV2LnhtbFBLBQYAAAAABAAEAPoAAACZAwAAAAA=&#10;">
                  <v:shape id="Freeform 11" o:spid="_x0000_s1031" style="position:absolute;left:636;top:5018;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P2cUA&#10;AADaAAAADwAAAGRycy9kb3ducmV2LnhtbESPT2vCQBTE70K/w/IKXkQ39VBLdCPFUrBpRKoePD6y&#10;L39o9m2a3Zr023cFweMwM79hVuvBNOJCnastK3iaRSCIc6trLhWcju/TFxDOI2tsLJOCP3KwTh5G&#10;K4y17fmLLgdfigBhF6OCyvs2ltLlFRl0M9sSB6+wnUEfZFdK3WEf4KaR8yh6lgZrDgsVtrSpKP8+&#10;/BoFGe4/fzJ57tPNxylL3yY6LbY7pcaPw+sShKfB38O39lYrWMD1SrgBM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o/ZxQAAANoAAAAPAAAAAAAAAAAAAAAAAJgCAABkcnMv&#10;ZG93bnJldi54bWxQSwUGAAAAAAQABAD1AAAAigMAAAAA&#10;" path="m,l10800,e" fillcolor="#8db3e2" strokecolor="#0d49ab" strokeweight="3pt">
                    <v:shadow on="t" color="#243f60" opacity=".5" offset="1pt"/>
                    <v:path arrowok="t" o:connecttype="custom" o:connectlocs="0,0;10800,0" o:connectangles="0,0"/>
                  </v:shape>
                </v:group>
                <w10:wrap anchorx="page"/>
              </v:group>
            </w:pict>
          </mc:Fallback>
        </mc:AlternateContent>
      </w:r>
    </w:p>
    <w:tbl>
      <w:tblPr>
        <w:tblpPr w:leftFromText="180" w:rightFromText="180" w:vertAnchor="text" w:horzAnchor="margin" w:tblpXSpec="center" w:tblpY="-202"/>
        <w:tblW w:w="9990" w:type="dxa"/>
        <w:tblLook w:val="04A0" w:firstRow="1" w:lastRow="0" w:firstColumn="1" w:lastColumn="0" w:noHBand="0" w:noVBand="1"/>
      </w:tblPr>
      <w:tblGrid>
        <w:gridCol w:w="5120"/>
        <w:gridCol w:w="4870"/>
      </w:tblGrid>
      <w:tr w:rsidR="008C5AB7" w:rsidRPr="00135123" w:rsidTr="000F6F97">
        <w:trPr>
          <w:trHeight w:val="5610"/>
        </w:trPr>
        <w:tc>
          <w:tcPr>
            <w:tcW w:w="5120" w:type="dxa"/>
          </w:tcPr>
          <w:p w:rsidR="008C5AB7" w:rsidRPr="00135123" w:rsidRDefault="008C5AB7" w:rsidP="00813113">
            <w:pPr>
              <w:spacing w:before="2" w:after="0" w:line="282" w:lineRule="exact"/>
              <w:ind w:hanging="2"/>
              <w:jc w:val="center"/>
              <w:rPr>
                <w:rFonts w:ascii="Sylfaen" w:eastAsia="AcadNusx" w:hAnsi="Sylfaen" w:cs="Sylfaen"/>
                <w:sz w:val="24"/>
                <w:szCs w:val="24"/>
              </w:rPr>
            </w:pPr>
            <w:r>
              <w:rPr>
                <w:rFonts w:ascii="Sylfaen" w:eastAsia="AcadNusx" w:hAnsi="Sylfaen" w:cs="Sylfaen"/>
                <w:noProof/>
                <w:sz w:val="24"/>
                <w:szCs w:val="24"/>
              </w:rPr>
              <w:drawing>
                <wp:anchor distT="0" distB="0" distL="114300" distR="114300" simplePos="0" relativeHeight="251659264" behindDoc="0" locked="0" layoutInCell="1" allowOverlap="1" wp14:anchorId="16A0D53F" wp14:editId="332181EB">
                  <wp:simplePos x="0" y="0"/>
                  <wp:positionH relativeFrom="margin">
                    <wp:posOffset>1016000</wp:posOffset>
                  </wp:positionH>
                  <wp:positionV relativeFrom="paragraph">
                    <wp:posOffset>-3175</wp:posOffset>
                  </wp:positionV>
                  <wp:extent cx="1619250" cy="1143000"/>
                  <wp:effectExtent l="0" t="0" r="0" b="0"/>
                  <wp:wrapNone/>
                  <wp:docPr id="6" name="Picture 6" descr="http://www.ncdc.g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dc.ge/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AB7" w:rsidRPr="00135123" w:rsidRDefault="008C5AB7" w:rsidP="00813113">
            <w:pPr>
              <w:spacing w:before="2" w:after="0" w:line="282" w:lineRule="exact"/>
              <w:ind w:hanging="2"/>
              <w:jc w:val="center"/>
              <w:rPr>
                <w:rFonts w:ascii="Sylfaen" w:eastAsia="AcadNusx" w:hAnsi="Sylfaen" w:cs="Sylfaen"/>
                <w:sz w:val="24"/>
                <w:szCs w:val="24"/>
              </w:rPr>
            </w:pPr>
          </w:p>
          <w:p w:rsidR="008C5AB7" w:rsidRPr="00135123" w:rsidRDefault="008C5AB7" w:rsidP="00813113">
            <w:pPr>
              <w:spacing w:before="2" w:after="0" w:line="282" w:lineRule="exact"/>
              <w:ind w:hanging="2"/>
              <w:jc w:val="center"/>
              <w:rPr>
                <w:rFonts w:ascii="Sylfaen" w:eastAsia="AcadNusx" w:hAnsi="Sylfaen" w:cs="Sylfaen"/>
                <w:sz w:val="24"/>
                <w:szCs w:val="24"/>
              </w:rPr>
            </w:pPr>
          </w:p>
          <w:p w:rsidR="008C5AB7" w:rsidRPr="00135123" w:rsidRDefault="008C5AB7" w:rsidP="00813113">
            <w:pPr>
              <w:spacing w:before="2" w:after="0" w:line="282" w:lineRule="exact"/>
              <w:ind w:hanging="2"/>
              <w:jc w:val="center"/>
              <w:rPr>
                <w:rFonts w:ascii="Sylfaen" w:eastAsia="AcadNusx" w:hAnsi="Sylfaen" w:cs="Sylfaen"/>
                <w:sz w:val="24"/>
                <w:szCs w:val="24"/>
              </w:rPr>
            </w:pPr>
            <w:r w:rsidRPr="00135123">
              <w:rPr>
                <w:rFonts w:ascii="Sylfaen" w:eastAsia="AcadNusx" w:hAnsi="Sylfaen" w:cs="Sylfaen"/>
                <w:sz w:val="24"/>
                <w:szCs w:val="24"/>
              </w:rPr>
              <w:t>‘</w:t>
            </w:r>
          </w:p>
          <w:p w:rsidR="008C5AB7" w:rsidRPr="00135123" w:rsidRDefault="008C5AB7" w:rsidP="00813113">
            <w:pPr>
              <w:spacing w:before="2" w:after="0" w:line="282" w:lineRule="exact"/>
              <w:ind w:hanging="2"/>
              <w:jc w:val="center"/>
              <w:rPr>
                <w:rFonts w:ascii="Sylfaen" w:eastAsia="AcadNusx" w:hAnsi="Sylfaen" w:cs="Sylfaen"/>
                <w:sz w:val="24"/>
                <w:szCs w:val="24"/>
              </w:rPr>
            </w:pPr>
          </w:p>
          <w:p w:rsidR="008C5AB7" w:rsidRPr="00135123" w:rsidRDefault="008C5AB7" w:rsidP="00813113">
            <w:pPr>
              <w:spacing w:before="2" w:after="0" w:line="282" w:lineRule="exact"/>
              <w:ind w:hanging="2"/>
              <w:jc w:val="center"/>
              <w:rPr>
                <w:rFonts w:ascii="Sylfaen" w:eastAsia="AcadNusx" w:hAnsi="Sylfaen" w:cs="Sylfaen"/>
                <w:sz w:val="24"/>
                <w:szCs w:val="24"/>
              </w:rPr>
            </w:pPr>
          </w:p>
          <w:p w:rsidR="008C5AB7" w:rsidRPr="00135123" w:rsidRDefault="008C5AB7" w:rsidP="00813113">
            <w:pPr>
              <w:spacing w:before="2" w:after="0" w:line="282" w:lineRule="exact"/>
              <w:ind w:hanging="2"/>
              <w:jc w:val="center"/>
              <w:rPr>
                <w:rFonts w:ascii="Sylfaen" w:eastAsia="AcadNusx" w:hAnsi="Sylfaen" w:cs="Sylfaen"/>
                <w:sz w:val="24"/>
                <w:szCs w:val="24"/>
              </w:rPr>
            </w:pPr>
          </w:p>
          <w:p w:rsidR="008C5AB7" w:rsidRPr="00135123" w:rsidRDefault="008C5AB7" w:rsidP="00813113">
            <w:pPr>
              <w:spacing w:before="2" w:after="0" w:line="282" w:lineRule="exact"/>
              <w:ind w:hanging="2"/>
              <w:jc w:val="center"/>
              <w:rPr>
                <w:rFonts w:ascii="Sylfaen" w:eastAsia="AcadNusx" w:hAnsi="Sylfaen" w:cs="Sylfaen"/>
                <w:sz w:val="24"/>
                <w:szCs w:val="24"/>
              </w:rPr>
            </w:pPr>
            <w:proofErr w:type="spellStart"/>
            <w:r w:rsidRPr="00135123">
              <w:rPr>
                <w:rFonts w:ascii="Sylfaen" w:eastAsia="AcadNusx" w:hAnsi="Sylfaen" w:cs="Sylfaen"/>
                <w:sz w:val="24"/>
                <w:szCs w:val="24"/>
              </w:rPr>
              <w:t>დაავადებათა</w:t>
            </w:r>
            <w:proofErr w:type="spellEnd"/>
            <w:r w:rsidRPr="00135123">
              <w:rPr>
                <w:rFonts w:ascii="AcadNusx" w:eastAsia="AcadNusx" w:hAnsi="AcadNusx" w:cs="AcadNusx"/>
                <w:sz w:val="24"/>
                <w:szCs w:val="24"/>
              </w:rPr>
              <w:t xml:space="preserve"> </w:t>
            </w:r>
            <w:proofErr w:type="spellStart"/>
            <w:r w:rsidRPr="00135123">
              <w:rPr>
                <w:rFonts w:ascii="Sylfaen" w:eastAsia="AcadNusx" w:hAnsi="Sylfaen" w:cs="Sylfaen"/>
                <w:sz w:val="24"/>
                <w:szCs w:val="24"/>
              </w:rPr>
              <w:t>კონტროლის</w:t>
            </w:r>
            <w:proofErr w:type="spellEnd"/>
            <w:r w:rsidRPr="00135123">
              <w:rPr>
                <w:rFonts w:ascii="AcadNusx" w:eastAsia="AcadNusx" w:hAnsi="AcadNusx" w:cs="AcadNusx"/>
                <w:sz w:val="24"/>
                <w:szCs w:val="24"/>
              </w:rPr>
              <w:t xml:space="preserve"> </w:t>
            </w:r>
            <w:proofErr w:type="spellStart"/>
            <w:r w:rsidRPr="00135123">
              <w:rPr>
                <w:rFonts w:ascii="Sylfaen" w:eastAsia="AcadNusx" w:hAnsi="Sylfaen" w:cs="Sylfaen"/>
                <w:sz w:val="24"/>
                <w:szCs w:val="24"/>
              </w:rPr>
              <w:t>და</w:t>
            </w:r>
            <w:proofErr w:type="spellEnd"/>
            <w:r w:rsidRPr="00135123">
              <w:rPr>
                <w:rFonts w:ascii="AcadNusx" w:eastAsia="AcadNusx" w:hAnsi="AcadNusx" w:cs="AcadNusx"/>
                <w:sz w:val="24"/>
                <w:szCs w:val="24"/>
              </w:rPr>
              <w:t xml:space="preserve"> </w:t>
            </w:r>
            <w:proofErr w:type="spellStart"/>
            <w:r w:rsidRPr="00135123">
              <w:rPr>
                <w:rFonts w:ascii="Sylfaen" w:eastAsia="AcadNusx" w:hAnsi="Sylfaen" w:cs="Sylfaen"/>
                <w:sz w:val="24"/>
                <w:szCs w:val="24"/>
              </w:rPr>
              <w:t>საზოგადოებრივი</w:t>
            </w:r>
            <w:proofErr w:type="spellEnd"/>
            <w:r w:rsidRPr="00135123">
              <w:rPr>
                <w:rFonts w:ascii="AcadNusx" w:eastAsia="AcadNusx" w:hAnsi="AcadNusx" w:cs="AcadNusx"/>
                <w:sz w:val="24"/>
                <w:szCs w:val="24"/>
              </w:rPr>
              <w:t xml:space="preserve"> </w:t>
            </w:r>
            <w:proofErr w:type="spellStart"/>
            <w:r w:rsidRPr="00135123">
              <w:rPr>
                <w:rFonts w:ascii="Sylfaen" w:eastAsia="AcadNusx" w:hAnsi="Sylfaen" w:cs="Sylfaen"/>
                <w:sz w:val="24"/>
                <w:szCs w:val="24"/>
              </w:rPr>
              <w:t>ჯანმრთელობის</w:t>
            </w:r>
            <w:proofErr w:type="spellEnd"/>
            <w:r w:rsidRPr="00135123">
              <w:rPr>
                <w:rFonts w:ascii="AcadNusx" w:eastAsia="AcadNusx" w:hAnsi="AcadNusx" w:cs="AcadNusx"/>
                <w:sz w:val="24"/>
                <w:szCs w:val="24"/>
              </w:rPr>
              <w:t xml:space="preserve"> </w:t>
            </w:r>
            <w:proofErr w:type="spellStart"/>
            <w:r w:rsidRPr="00135123">
              <w:rPr>
                <w:rFonts w:ascii="Sylfaen" w:eastAsia="AcadNusx" w:hAnsi="Sylfaen" w:cs="Sylfaen"/>
                <w:sz w:val="24"/>
                <w:szCs w:val="24"/>
              </w:rPr>
              <w:t>ეროვნული</w:t>
            </w:r>
            <w:proofErr w:type="spellEnd"/>
            <w:r w:rsidRPr="00135123">
              <w:rPr>
                <w:rFonts w:ascii="AcadNusx" w:eastAsia="AcadNusx" w:hAnsi="AcadNusx" w:cs="AcadNusx"/>
                <w:sz w:val="24"/>
                <w:szCs w:val="24"/>
              </w:rPr>
              <w:t xml:space="preserve"> </w:t>
            </w:r>
            <w:proofErr w:type="spellStart"/>
            <w:r w:rsidRPr="00135123">
              <w:rPr>
                <w:rFonts w:ascii="Sylfaen" w:eastAsia="AcadNusx" w:hAnsi="Sylfaen" w:cs="Sylfaen"/>
                <w:sz w:val="24"/>
                <w:szCs w:val="24"/>
              </w:rPr>
              <w:t>ცენტრი</w:t>
            </w:r>
            <w:proofErr w:type="spellEnd"/>
          </w:p>
          <w:p w:rsidR="008C5AB7" w:rsidRPr="00135123" w:rsidRDefault="008C5AB7" w:rsidP="00813113">
            <w:pPr>
              <w:spacing w:before="2" w:after="0" w:line="282" w:lineRule="exact"/>
              <w:ind w:hanging="2"/>
              <w:jc w:val="center"/>
              <w:rPr>
                <w:rFonts w:ascii="Sylfaen" w:eastAsia="AcadNusx" w:hAnsi="Sylfaen" w:cs="Sylfaen"/>
                <w:sz w:val="24"/>
                <w:szCs w:val="24"/>
              </w:rPr>
            </w:pPr>
          </w:p>
          <w:p w:rsidR="008C5AB7" w:rsidRPr="00135123" w:rsidRDefault="008C5AB7" w:rsidP="001F5C2E">
            <w:pPr>
              <w:spacing w:after="0" w:line="314" w:lineRule="exact"/>
              <w:ind w:left="180" w:right="-5930"/>
              <w:rPr>
                <w:rFonts w:eastAsia="Calibri"/>
                <w:sz w:val="20"/>
                <w:szCs w:val="20"/>
                <w:lang w:val="ka-GE"/>
              </w:rPr>
            </w:pPr>
            <w:r w:rsidRPr="00135123">
              <w:rPr>
                <w:rFonts w:ascii="Sylfaen" w:eastAsia="AcadNusx" w:hAnsi="Sylfaen" w:cs="AcadNusx"/>
                <w:position w:val="1"/>
                <w:sz w:val="20"/>
                <w:szCs w:val="20"/>
              </w:rPr>
              <w:t>201</w:t>
            </w:r>
            <w:r>
              <w:rPr>
                <w:rFonts w:ascii="Sylfaen" w:eastAsia="Sylfaen" w:hAnsi="Sylfaen" w:cs="Sylfaen"/>
                <w:position w:val="1"/>
                <w:sz w:val="20"/>
                <w:szCs w:val="20"/>
              </w:rPr>
              <w:t>9</w:t>
            </w:r>
            <w:r w:rsidRPr="00135123">
              <w:rPr>
                <w:rFonts w:ascii="Sylfaen" w:eastAsia="Sylfaen" w:hAnsi="Sylfaen" w:cs="Sylfaen"/>
                <w:position w:val="1"/>
                <w:sz w:val="20"/>
                <w:szCs w:val="20"/>
              </w:rPr>
              <w:t xml:space="preserve"> </w:t>
            </w:r>
            <w:r w:rsidR="001F5C2E">
              <w:rPr>
                <w:rFonts w:ascii="Sylfaen" w:eastAsia="Sylfaen" w:hAnsi="Sylfaen" w:cs="Sylfaen"/>
                <w:position w:val="1"/>
                <w:sz w:val="20"/>
                <w:szCs w:val="20"/>
                <w:lang w:val="ka-GE"/>
              </w:rPr>
              <w:t>ივლისი, აგვისტო, სექტემბერი N7,8,9</w:t>
            </w:r>
            <w:r w:rsidRPr="00135123">
              <w:rPr>
                <w:rFonts w:ascii="Sylfaen" w:eastAsia="AcadNusx" w:hAnsi="Sylfaen" w:cs="AcadNusx"/>
                <w:position w:val="1"/>
                <w:sz w:val="20"/>
                <w:szCs w:val="20"/>
              </w:rPr>
              <w:t xml:space="preserve"> </w:t>
            </w:r>
            <w:proofErr w:type="spellStart"/>
            <w:r w:rsidRPr="00135123">
              <w:rPr>
                <w:rFonts w:ascii="Sylfaen" w:eastAsia="AcadNusx" w:hAnsi="Sylfaen" w:cs="AcadNusx"/>
                <w:spacing w:val="-1"/>
                <w:position w:val="1"/>
                <w:sz w:val="20"/>
                <w:szCs w:val="20"/>
              </w:rPr>
              <w:t>ტომი</w:t>
            </w:r>
            <w:proofErr w:type="spellEnd"/>
            <w:r w:rsidRPr="00135123">
              <w:rPr>
                <w:rFonts w:ascii="Sylfaen" w:eastAsia="AcadNusx" w:hAnsi="Sylfaen" w:cs="AcadNusx"/>
                <w:position w:val="1"/>
                <w:sz w:val="20"/>
                <w:szCs w:val="20"/>
              </w:rPr>
              <w:t xml:space="preserve"> </w:t>
            </w:r>
            <w:r>
              <w:rPr>
                <w:rFonts w:ascii="Sylfaen" w:eastAsia="AcadNusx" w:hAnsi="Sylfaen" w:cs="AcadNusx"/>
                <w:position w:val="1"/>
                <w:sz w:val="20"/>
                <w:szCs w:val="20"/>
                <w:lang w:val="ka-GE"/>
              </w:rPr>
              <w:t>23</w:t>
            </w:r>
          </w:p>
        </w:tc>
        <w:tc>
          <w:tcPr>
            <w:tcW w:w="4870" w:type="dxa"/>
          </w:tcPr>
          <w:p w:rsidR="008C5AB7" w:rsidRPr="00135123" w:rsidRDefault="008C5AB7" w:rsidP="00813113">
            <w:pPr>
              <w:spacing w:after="0" w:line="240" w:lineRule="auto"/>
              <w:ind w:left="-103" w:right="-59"/>
              <w:jc w:val="center"/>
              <w:rPr>
                <w:rFonts w:ascii="Sylfaen" w:eastAsia="AcadNusx" w:hAnsi="Sylfaen" w:cs="AcadNusx"/>
                <w:b/>
                <w:color w:val="003399"/>
                <w:sz w:val="20"/>
                <w:szCs w:val="20"/>
              </w:rPr>
            </w:pPr>
          </w:p>
          <w:p w:rsidR="008C5AB7" w:rsidRPr="00135123" w:rsidRDefault="008C5AB7" w:rsidP="00813113">
            <w:pPr>
              <w:spacing w:after="0" w:line="240" w:lineRule="auto"/>
              <w:ind w:left="-103" w:right="-59"/>
              <w:jc w:val="center"/>
              <w:rPr>
                <w:rFonts w:ascii="Sylfaen" w:eastAsia="AcadNusx" w:hAnsi="Sylfaen" w:cs="AcadNusx"/>
                <w:b/>
                <w:color w:val="003399"/>
                <w:sz w:val="20"/>
                <w:szCs w:val="20"/>
              </w:rPr>
            </w:pPr>
          </w:p>
          <w:p w:rsidR="008C5AB7" w:rsidRPr="00135123" w:rsidRDefault="008C5AB7" w:rsidP="00813113">
            <w:pPr>
              <w:spacing w:after="0" w:line="240" w:lineRule="auto"/>
              <w:ind w:left="181" w:right="-59"/>
              <w:jc w:val="center"/>
              <w:rPr>
                <w:rFonts w:ascii="Sylfaen" w:eastAsia="AcadNusx" w:hAnsi="Sylfaen" w:cs="AcadNusx"/>
                <w:b/>
                <w:color w:val="003399"/>
                <w:sz w:val="44"/>
                <w:szCs w:val="44"/>
              </w:rPr>
            </w:pPr>
            <w:proofErr w:type="spellStart"/>
            <w:r w:rsidRPr="00135123">
              <w:rPr>
                <w:rFonts w:ascii="Sylfaen" w:eastAsia="AcadNusx" w:hAnsi="Sylfaen" w:cs="AcadNusx"/>
                <w:b/>
                <w:color w:val="003399"/>
                <w:sz w:val="44"/>
                <w:szCs w:val="44"/>
              </w:rPr>
              <w:t>ეპიდემიოლოგიური</w:t>
            </w:r>
            <w:proofErr w:type="spellEnd"/>
          </w:p>
          <w:p w:rsidR="008C5AB7" w:rsidRPr="00135123" w:rsidRDefault="008C5AB7" w:rsidP="00813113">
            <w:pPr>
              <w:spacing w:after="0" w:line="240" w:lineRule="auto"/>
              <w:ind w:left="181" w:right="-59"/>
              <w:jc w:val="center"/>
              <w:rPr>
                <w:rFonts w:ascii="Sylfaen" w:eastAsia="AcadNusx" w:hAnsi="Sylfaen" w:cs="AcadNusx"/>
                <w:b/>
                <w:color w:val="003399"/>
                <w:sz w:val="44"/>
                <w:szCs w:val="44"/>
              </w:rPr>
            </w:pPr>
            <w:proofErr w:type="spellStart"/>
            <w:r w:rsidRPr="00135123">
              <w:rPr>
                <w:rFonts w:ascii="Sylfaen" w:eastAsia="AcadNusx" w:hAnsi="Sylfaen" w:cs="AcadNusx"/>
                <w:b/>
                <w:color w:val="003399"/>
                <w:sz w:val="44"/>
                <w:szCs w:val="44"/>
              </w:rPr>
              <w:t>ბიულეტენი</w:t>
            </w:r>
            <w:proofErr w:type="spellEnd"/>
          </w:p>
          <w:p w:rsidR="008C5AB7" w:rsidRPr="00135123" w:rsidRDefault="008C5AB7" w:rsidP="00813113">
            <w:pPr>
              <w:spacing w:after="0" w:line="240" w:lineRule="auto"/>
              <w:ind w:left="181" w:right="-59"/>
              <w:jc w:val="center"/>
              <w:rPr>
                <w:rFonts w:ascii="Sylfaen" w:eastAsia="AcadNusx" w:hAnsi="Sylfaen" w:cs="AcadNusx"/>
                <w:b/>
                <w:color w:val="003399"/>
                <w:sz w:val="44"/>
                <w:szCs w:val="44"/>
              </w:rPr>
            </w:pPr>
          </w:p>
          <w:p w:rsidR="008C5AB7" w:rsidRPr="008C5AB7" w:rsidRDefault="008C5AB7" w:rsidP="008C5AB7">
            <w:pPr>
              <w:jc w:val="center"/>
              <w:rPr>
                <w:rFonts w:ascii="Sylfaen" w:eastAsia="Calibri" w:hAnsi="Sylfaen"/>
                <w:b/>
                <w:sz w:val="24"/>
                <w:lang w:val="ka-GE"/>
              </w:rPr>
            </w:pPr>
            <w:r w:rsidRPr="008C5AB7">
              <w:rPr>
                <w:rFonts w:ascii="Sylfaen" w:eastAsia="Calibri" w:hAnsi="Sylfaen"/>
                <w:b/>
                <w:sz w:val="24"/>
                <w:lang w:val="ka-GE"/>
              </w:rPr>
              <w:t>„ქალთა პოპულაციაში მოტეხილობების გავრცელებისა და ეპიდემიოლოგიური თავისებურებების შესწავლა ჰოსპიტალური მონაცემთა ბაზის გამოყენებით“</w:t>
            </w:r>
          </w:p>
          <w:p w:rsidR="008C5AB7" w:rsidRPr="00135123" w:rsidRDefault="008C5AB7" w:rsidP="00813113">
            <w:pPr>
              <w:jc w:val="center"/>
              <w:rPr>
                <w:rFonts w:ascii="Sylfaen" w:eastAsia="Calibri" w:hAnsi="Sylfaen"/>
                <w:sz w:val="24"/>
                <w:lang w:val="ka-GE"/>
              </w:rPr>
            </w:pPr>
          </w:p>
          <w:p w:rsidR="008C5AB7" w:rsidRPr="00135123" w:rsidRDefault="008C5AB7" w:rsidP="00813113">
            <w:pPr>
              <w:spacing w:after="0" w:line="240" w:lineRule="auto"/>
              <w:ind w:right="-20"/>
              <w:rPr>
                <w:rFonts w:ascii="Sylfaen" w:eastAsia="Sylfaen" w:hAnsi="Sylfaen" w:cs="Sylfaen"/>
                <w:sz w:val="24"/>
                <w:szCs w:val="24"/>
              </w:rPr>
            </w:pPr>
          </w:p>
          <w:p w:rsidR="008C5AB7" w:rsidRPr="00135123" w:rsidRDefault="008C5AB7" w:rsidP="00813113">
            <w:pPr>
              <w:spacing w:after="0" w:line="240" w:lineRule="auto"/>
              <w:ind w:right="-20"/>
              <w:rPr>
                <w:rFonts w:ascii="Sylfaen" w:eastAsia="Sylfaen" w:hAnsi="Sylfaen" w:cs="Sylfaen"/>
                <w:sz w:val="24"/>
                <w:szCs w:val="24"/>
              </w:rPr>
            </w:pPr>
          </w:p>
          <w:p w:rsidR="008C5AB7" w:rsidRPr="00135123" w:rsidRDefault="008C5AB7" w:rsidP="00813113">
            <w:pPr>
              <w:jc w:val="both"/>
              <w:rPr>
                <w:rFonts w:ascii="Sylfaen" w:eastAsia="Sylfaen" w:hAnsi="Sylfaen" w:cs="Sylfaen"/>
                <w:sz w:val="24"/>
                <w:szCs w:val="24"/>
              </w:rPr>
            </w:pPr>
          </w:p>
        </w:tc>
      </w:tr>
    </w:tbl>
    <w:p w:rsidR="00684582" w:rsidRPr="007D3D2C" w:rsidRDefault="008C5AB7" w:rsidP="008C5AB7">
      <w:pPr>
        <w:rPr>
          <w:rFonts w:ascii="Sylfaen" w:hAnsi="Sylfaen"/>
          <w:b/>
          <w:sz w:val="24"/>
          <w:szCs w:val="24"/>
          <w:lang w:val="ka-GE"/>
        </w:rPr>
      </w:pPr>
      <w:r>
        <w:rPr>
          <w:rFonts w:ascii="Sylfaen" w:hAnsi="Sylfaen"/>
          <w:b/>
          <w:sz w:val="24"/>
          <w:szCs w:val="24"/>
        </w:rPr>
        <w:t xml:space="preserve">   </w:t>
      </w:r>
      <w:r w:rsidR="00684582" w:rsidRPr="007D3D2C">
        <w:rPr>
          <w:rFonts w:ascii="Sylfaen" w:hAnsi="Sylfaen"/>
          <w:b/>
          <w:sz w:val="24"/>
          <w:szCs w:val="24"/>
          <w:lang w:val="ka-GE"/>
        </w:rPr>
        <w:t>„ქალთა პოპულაციაში მოტეხილობების გავრცელებისა და ეპიდემიოლოგიური თავისებურებების შესწავლა ჰოსპიტალური მონაცემთა ბაზის გამოყენებით“</w:t>
      </w:r>
    </w:p>
    <w:p w:rsidR="00684582" w:rsidRPr="007D3D2C" w:rsidRDefault="00684582" w:rsidP="0065098A">
      <w:pPr>
        <w:spacing w:before="240" w:line="240" w:lineRule="auto"/>
        <w:jc w:val="both"/>
        <w:rPr>
          <w:rFonts w:ascii="Sylfaen" w:hAnsi="Sylfaen"/>
          <w:lang w:val="ka-GE"/>
        </w:rPr>
      </w:pPr>
      <w:r w:rsidRPr="007D3D2C">
        <w:rPr>
          <w:rFonts w:ascii="Sylfaen" w:hAnsi="Sylfaen"/>
          <w:lang w:val="ka-GE"/>
        </w:rPr>
        <w:t>ტრავმატიზმი</w:t>
      </w:r>
      <w:r w:rsidRPr="007D3D2C">
        <w:rPr>
          <w:rFonts w:ascii="Sylfaen" w:hAnsi="Sylfaen"/>
        </w:rPr>
        <w:t xml:space="preserve"> </w:t>
      </w:r>
      <w:r w:rsidRPr="007D3D2C">
        <w:rPr>
          <w:rFonts w:ascii="Sylfaen" w:hAnsi="Sylfaen"/>
          <w:lang w:val="ka-GE"/>
        </w:rPr>
        <w:t>დაზიანებათა</w:t>
      </w:r>
      <w:r w:rsidRPr="007D3D2C">
        <w:rPr>
          <w:rFonts w:ascii="Sylfaen" w:hAnsi="Sylfaen"/>
        </w:rPr>
        <w:t xml:space="preserve"> </w:t>
      </w:r>
      <w:r w:rsidRPr="007D3D2C">
        <w:rPr>
          <w:rFonts w:ascii="Sylfaen" w:hAnsi="Sylfaen"/>
          <w:lang w:val="ka-GE"/>
        </w:rPr>
        <w:t>ორ</w:t>
      </w:r>
      <w:r w:rsidRPr="007D3D2C">
        <w:rPr>
          <w:rFonts w:ascii="Sylfaen" w:hAnsi="Sylfaen"/>
        </w:rPr>
        <w:t xml:space="preserve"> </w:t>
      </w:r>
      <w:r w:rsidRPr="007D3D2C">
        <w:rPr>
          <w:rFonts w:ascii="Sylfaen" w:hAnsi="Sylfaen"/>
          <w:lang w:val="ka-GE"/>
        </w:rPr>
        <w:t>ძირითად</w:t>
      </w:r>
      <w:r w:rsidRPr="007D3D2C">
        <w:rPr>
          <w:rFonts w:ascii="Sylfaen" w:hAnsi="Sylfaen"/>
        </w:rPr>
        <w:t xml:space="preserve"> </w:t>
      </w:r>
      <w:r w:rsidRPr="007D3D2C">
        <w:rPr>
          <w:rFonts w:ascii="Sylfaen" w:hAnsi="Sylfaen"/>
          <w:lang w:val="ka-GE"/>
        </w:rPr>
        <w:t>კატეგორიას</w:t>
      </w:r>
      <w:r w:rsidRPr="007D3D2C">
        <w:rPr>
          <w:rFonts w:ascii="Sylfaen" w:hAnsi="Sylfaen"/>
        </w:rPr>
        <w:t xml:space="preserve"> </w:t>
      </w:r>
      <w:r w:rsidRPr="007D3D2C">
        <w:rPr>
          <w:rFonts w:ascii="Sylfaen" w:hAnsi="Sylfaen"/>
          <w:lang w:val="ka-GE"/>
        </w:rPr>
        <w:t>მოიცავს: შემთხვევით</w:t>
      </w:r>
      <w:r w:rsidRPr="007D3D2C">
        <w:rPr>
          <w:rFonts w:ascii="Sylfaen" w:hAnsi="Sylfaen"/>
        </w:rPr>
        <w:t xml:space="preserve"> </w:t>
      </w:r>
      <w:r w:rsidRPr="007D3D2C">
        <w:rPr>
          <w:rFonts w:ascii="Sylfaen" w:hAnsi="Sylfaen"/>
          <w:lang w:val="ka-GE"/>
        </w:rPr>
        <w:t>და</w:t>
      </w:r>
      <w:r w:rsidRPr="007D3D2C">
        <w:rPr>
          <w:rFonts w:ascii="Sylfaen" w:hAnsi="Sylfaen"/>
        </w:rPr>
        <w:t xml:space="preserve"> </w:t>
      </w:r>
      <w:r w:rsidRPr="007D3D2C">
        <w:rPr>
          <w:rFonts w:ascii="Sylfaen" w:hAnsi="Sylfaen"/>
          <w:lang w:val="ka-GE"/>
        </w:rPr>
        <w:t xml:space="preserve">გამიზნულს. </w:t>
      </w:r>
      <w:r w:rsidR="0069233B">
        <w:rPr>
          <w:rFonts w:ascii="Sylfaen" w:hAnsi="Sylfaen"/>
          <w:lang w:val="ka-GE"/>
        </w:rPr>
        <w:t>შემთხვევ</w:t>
      </w:r>
      <w:r w:rsidRPr="007D3D2C">
        <w:rPr>
          <w:rFonts w:ascii="Sylfaen" w:hAnsi="Sylfaen"/>
          <w:lang w:val="ka-GE"/>
        </w:rPr>
        <w:t>ით</w:t>
      </w:r>
      <w:r w:rsidRPr="007D3D2C">
        <w:rPr>
          <w:rFonts w:ascii="Sylfaen" w:hAnsi="Sylfaen"/>
        </w:rPr>
        <w:t xml:space="preserve"> </w:t>
      </w:r>
      <w:r w:rsidRPr="007D3D2C">
        <w:rPr>
          <w:rFonts w:ascii="Sylfaen" w:hAnsi="Sylfaen"/>
          <w:lang w:val="ka-GE"/>
        </w:rPr>
        <w:t>დაზიანებას</w:t>
      </w:r>
      <w:r w:rsidRPr="007D3D2C">
        <w:rPr>
          <w:rFonts w:ascii="Sylfaen" w:hAnsi="Sylfaen"/>
        </w:rPr>
        <w:t xml:space="preserve"> </w:t>
      </w:r>
      <w:r w:rsidRPr="007D3D2C">
        <w:rPr>
          <w:rFonts w:ascii="Sylfaen" w:hAnsi="Sylfaen"/>
          <w:lang w:val="ka-GE"/>
        </w:rPr>
        <w:t>მიეკუთვნება</w:t>
      </w:r>
      <w:r w:rsidRPr="007D3D2C">
        <w:rPr>
          <w:rFonts w:ascii="Sylfaen" w:hAnsi="Sylfaen"/>
        </w:rPr>
        <w:t xml:space="preserve"> </w:t>
      </w:r>
      <w:r w:rsidRPr="007D3D2C">
        <w:rPr>
          <w:rFonts w:ascii="Sylfaen" w:hAnsi="Sylfaen"/>
          <w:lang w:val="ka-GE"/>
        </w:rPr>
        <w:t>საგზაო-სატრანსპორტო</w:t>
      </w:r>
      <w:r w:rsidRPr="007D3D2C">
        <w:rPr>
          <w:rFonts w:ascii="Sylfaen" w:hAnsi="Sylfaen"/>
        </w:rPr>
        <w:t xml:space="preserve"> </w:t>
      </w:r>
      <w:r w:rsidRPr="007D3D2C">
        <w:rPr>
          <w:rFonts w:ascii="Sylfaen" w:hAnsi="Sylfaen"/>
          <w:lang w:val="ka-GE"/>
        </w:rPr>
        <w:t xml:space="preserve">შემთხვევები, ვარდნა, დამწვრობა, დახრჩობა, </w:t>
      </w:r>
      <w:r w:rsidR="0069233B">
        <w:rPr>
          <w:rFonts w:ascii="Sylfaen" w:hAnsi="Sylfaen"/>
          <w:lang w:val="ka-GE"/>
        </w:rPr>
        <w:t>რეაკრე</w:t>
      </w:r>
      <w:r w:rsidRPr="007D3D2C">
        <w:rPr>
          <w:rFonts w:ascii="Sylfaen" w:hAnsi="Sylfaen"/>
          <w:lang w:val="ka-GE"/>
        </w:rPr>
        <w:t>აციულ-სპორტული</w:t>
      </w:r>
      <w:r w:rsidR="0069233B">
        <w:rPr>
          <w:rFonts w:ascii="Sylfaen" w:hAnsi="Sylfaen"/>
          <w:lang w:val="ka-GE"/>
        </w:rPr>
        <w:t xml:space="preserve"> </w:t>
      </w:r>
      <w:r w:rsidRPr="007D3D2C">
        <w:rPr>
          <w:rFonts w:ascii="Sylfaen" w:hAnsi="Sylfaen"/>
          <w:lang w:val="ka-GE"/>
        </w:rPr>
        <w:t>შემთხვევები</w:t>
      </w:r>
      <w:r w:rsidRPr="007D3D2C">
        <w:rPr>
          <w:rFonts w:ascii="Sylfaen" w:hAnsi="Sylfaen"/>
        </w:rPr>
        <w:t xml:space="preserve"> </w:t>
      </w:r>
      <w:r w:rsidRPr="007D3D2C">
        <w:rPr>
          <w:rFonts w:ascii="Sylfaen" w:hAnsi="Sylfaen"/>
          <w:lang w:val="ka-GE"/>
        </w:rPr>
        <w:t>და</w:t>
      </w:r>
      <w:r w:rsidRPr="007D3D2C">
        <w:rPr>
          <w:rFonts w:ascii="Sylfaen" w:hAnsi="Sylfaen"/>
        </w:rPr>
        <w:t xml:space="preserve"> </w:t>
      </w:r>
      <w:r w:rsidRPr="007D3D2C">
        <w:rPr>
          <w:rFonts w:ascii="Sylfaen" w:hAnsi="Sylfaen"/>
          <w:lang w:val="ka-GE"/>
        </w:rPr>
        <w:t>ა.შ. განზრახ</w:t>
      </w:r>
      <w:r w:rsidRPr="007D3D2C">
        <w:rPr>
          <w:rFonts w:ascii="Sylfaen" w:hAnsi="Sylfaen"/>
        </w:rPr>
        <w:t xml:space="preserve"> </w:t>
      </w:r>
      <w:r w:rsidRPr="007D3D2C">
        <w:rPr>
          <w:rFonts w:ascii="Sylfaen" w:hAnsi="Sylfaen"/>
          <w:lang w:val="ka-GE"/>
        </w:rPr>
        <w:t>დაზიანებას</w:t>
      </w:r>
      <w:r w:rsidRPr="007D3D2C">
        <w:rPr>
          <w:rFonts w:ascii="Sylfaen" w:hAnsi="Sylfaen"/>
        </w:rPr>
        <w:t xml:space="preserve"> </w:t>
      </w:r>
      <w:r w:rsidRPr="007D3D2C">
        <w:rPr>
          <w:rFonts w:ascii="Sylfaen" w:hAnsi="Sylfaen"/>
          <w:lang w:val="ka-GE"/>
        </w:rPr>
        <w:t>მიეკუთვნება</w:t>
      </w:r>
      <w:r w:rsidRPr="007D3D2C">
        <w:rPr>
          <w:rFonts w:ascii="Sylfaen" w:hAnsi="Sylfaen"/>
        </w:rPr>
        <w:t xml:space="preserve"> </w:t>
      </w:r>
      <w:r w:rsidRPr="007D3D2C">
        <w:rPr>
          <w:rFonts w:ascii="Sylfaen" w:hAnsi="Sylfaen"/>
          <w:lang w:val="ka-GE"/>
        </w:rPr>
        <w:t>ყველა</w:t>
      </w:r>
      <w:r w:rsidRPr="007D3D2C">
        <w:rPr>
          <w:rFonts w:ascii="Sylfaen" w:hAnsi="Sylfaen"/>
        </w:rPr>
        <w:t xml:space="preserve"> </w:t>
      </w:r>
      <w:r w:rsidRPr="007D3D2C">
        <w:rPr>
          <w:rFonts w:ascii="Sylfaen" w:hAnsi="Sylfaen"/>
          <w:lang w:val="ka-GE"/>
        </w:rPr>
        <w:t>ტიპის</w:t>
      </w:r>
      <w:r w:rsidRPr="007D3D2C">
        <w:rPr>
          <w:rFonts w:ascii="Sylfaen" w:hAnsi="Sylfaen"/>
        </w:rPr>
        <w:t xml:space="preserve"> </w:t>
      </w:r>
      <w:r w:rsidRPr="007D3D2C">
        <w:rPr>
          <w:rFonts w:ascii="Sylfaen" w:hAnsi="Sylfaen"/>
          <w:lang w:val="ka-GE"/>
        </w:rPr>
        <w:t>ძალადობა, კერძოდ: ინტერპერსონალური, მკვლელობა, თვითმკვლელობის</w:t>
      </w:r>
      <w:r w:rsidRPr="007D3D2C">
        <w:rPr>
          <w:rFonts w:ascii="Sylfaen" w:hAnsi="Sylfaen"/>
        </w:rPr>
        <w:t xml:space="preserve"> </w:t>
      </w:r>
      <w:r w:rsidRPr="007D3D2C">
        <w:rPr>
          <w:rFonts w:ascii="Sylfaen" w:hAnsi="Sylfaen"/>
          <w:lang w:val="ka-GE"/>
        </w:rPr>
        <w:t>მცდელობა, თვითმკვლელობა</w:t>
      </w:r>
      <w:r w:rsidRPr="007D3D2C">
        <w:rPr>
          <w:rFonts w:ascii="Sylfaen" w:hAnsi="Sylfaen"/>
        </w:rPr>
        <w:t xml:space="preserve"> </w:t>
      </w:r>
      <w:r w:rsidRPr="007D3D2C">
        <w:rPr>
          <w:rFonts w:ascii="Sylfaen" w:hAnsi="Sylfaen"/>
          <w:lang w:val="ka-GE"/>
        </w:rPr>
        <w:t>და</w:t>
      </w:r>
      <w:r w:rsidRPr="007D3D2C">
        <w:rPr>
          <w:rFonts w:ascii="Sylfaen" w:hAnsi="Sylfaen"/>
        </w:rPr>
        <w:t xml:space="preserve"> </w:t>
      </w:r>
      <w:r w:rsidRPr="007D3D2C">
        <w:rPr>
          <w:rFonts w:ascii="Sylfaen" w:hAnsi="Sylfaen"/>
          <w:lang w:val="ka-GE"/>
        </w:rPr>
        <w:t>ა.შ.</w:t>
      </w:r>
    </w:p>
    <w:p w:rsidR="00402E74" w:rsidRPr="007D3D2C" w:rsidRDefault="00684582" w:rsidP="0065098A">
      <w:pPr>
        <w:spacing w:line="240" w:lineRule="auto"/>
        <w:jc w:val="both"/>
        <w:rPr>
          <w:rFonts w:ascii="Sylfaen" w:hAnsi="Sylfaen"/>
          <w:lang w:val="ka-GE"/>
        </w:rPr>
      </w:pPr>
      <w:r w:rsidRPr="007D3D2C">
        <w:rPr>
          <w:rFonts w:ascii="Sylfaen" w:hAnsi="Sylfaen"/>
          <w:lang w:val="ka-GE"/>
        </w:rPr>
        <w:t xml:space="preserve">ტრავმის შედეგად 2017 წელს მსოფლიოში 4.5 მილიონი ადამიანი დაიღუპა, რაც სიკვდილიანობის გლობალური ტვირთის 8%-ს შეადგენს და აივ-ინფექციით, </w:t>
      </w:r>
      <w:r w:rsidR="0069233B">
        <w:rPr>
          <w:rFonts w:ascii="Sylfaen" w:hAnsi="Sylfaen"/>
          <w:lang w:val="ka-GE"/>
        </w:rPr>
        <w:t>ტუბერკულ</w:t>
      </w:r>
      <w:r w:rsidRPr="007D3D2C">
        <w:rPr>
          <w:rFonts w:ascii="Sylfaen" w:hAnsi="Sylfaen"/>
          <w:lang w:val="ka-GE"/>
        </w:rPr>
        <w:t xml:space="preserve">ოზითა და მალარიით გამოწვეული ლეტალობის საერთო ჯამს 1.7-ჯერ აღემატება. </w:t>
      </w:r>
    </w:p>
    <w:p w:rsidR="00684582" w:rsidRPr="007D3D2C" w:rsidRDefault="00684582" w:rsidP="0065098A">
      <w:pPr>
        <w:spacing w:line="240" w:lineRule="auto"/>
        <w:jc w:val="both"/>
        <w:rPr>
          <w:rFonts w:ascii="Sylfaen" w:hAnsi="Sylfaen"/>
          <w:lang w:val="ka-GE"/>
        </w:rPr>
      </w:pPr>
      <w:r w:rsidRPr="007D3D2C">
        <w:rPr>
          <w:rFonts w:ascii="Sylfaen" w:eastAsia="Calibri" w:hAnsi="Sylfaen" w:cs="Times New Roman"/>
          <w:lang w:val="ka-GE" w:eastAsia="zh-CN"/>
        </w:rPr>
        <w:t xml:space="preserve">ვარდნა შემთხვევითი დაზიანების ერთ-ერთი ძირითადი მიზეზია </w:t>
      </w:r>
      <w:r w:rsidRPr="007D3D2C">
        <w:rPr>
          <w:rFonts w:ascii="Sylfaen" w:hAnsi="Sylfaen"/>
          <w:lang w:val="ka-GE"/>
        </w:rPr>
        <w:t>და მისი წილი დაზიანებით განპირობებული სიკვდილიანობის სტრუქტურაში</w:t>
      </w:r>
      <w:r w:rsidR="00402E74" w:rsidRPr="007D3D2C">
        <w:rPr>
          <w:rFonts w:ascii="Sylfaen" w:hAnsi="Sylfaen"/>
          <w:lang w:val="ka-GE"/>
        </w:rPr>
        <w:t xml:space="preserve"> 2</w:t>
      </w:r>
      <w:r w:rsidRPr="007D3D2C">
        <w:rPr>
          <w:rFonts w:ascii="Sylfaen" w:hAnsi="Sylfaen"/>
          <w:lang w:val="ka-GE"/>
        </w:rPr>
        <w:t>0%-ს შეადგენს.</w:t>
      </w:r>
      <w:r w:rsidRPr="007D3D2C">
        <w:rPr>
          <w:rFonts w:ascii="Sylfaen" w:eastAsia="Calibri" w:hAnsi="Sylfaen" w:cs="Times New Roman"/>
          <w:lang w:val="ka-GE" w:eastAsia="zh-CN"/>
        </w:rPr>
        <w:t xml:space="preserve"> </w:t>
      </w:r>
      <w:r w:rsidR="0069233B">
        <w:rPr>
          <w:rFonts w:ascii="Sylfaen" w:eastAsia="Calibri" w:hAnsi="Sylfaen" w:cs="Times New Roman"/>
          <w:lang w:val="ka-GE" w:eastAsia="zh-CN"/>
        </w:rPr>
        <w:t>ვარდნ</w:t>
      </w:r>
      <w:r w:rsidRPr="007D3D2C">
        <w:rPr>
          <w:rFonts w:ascii="Sylfaen" w:eastAsia="Calibri" w:hAnsi="Sylfaen" w:cs="Times New Roman"/>
          <w:lang w:val="ka-GE" w:eastAsia="zh-CN"/>
        </w:rPr>
        <w:t>ა განიმარტება როგორც მიწაზე-იატაკზე ან სხვა დაბალ დონეზე უ</w:t>
      </w:r>
      <w:r w:rsidR="0069233B">
        <w:rPr>
          <w:rFonts w:ascii="Sylfaen" w:eastAsia="Calibri" w:hAnsi="Sylfaen" w:cs="Times New Roman"/>
          <w:lang w:val="ka-GE" w:eastAsia="zh-CN"/>
        </w:rPr>
        <w:t>ნებლიე</w:t>
      </w:r>
      <w:r w:rsidRPr="007D3D2C">
        <w:rPr>
          <w:rFonts w:ascii="Sylfaen" w:eastAsia="Calibri" w:hAnsi="Sylfaen" w:cs="Times New Roman"/>
          <w:lang w:val="ka-GE" w:eastAsia="zh-CN"/>
        </w:rPr>
        <w:t>დ განთავსება, რომელიც არ მოიცავს პოზის მიზანმიმართულ ცვლილებას ავეჯზე, კედელზე ან სხვა საგანზე მოსვენების მიზნით.</w:t>
      </w:r>
      <w:r w:rsidR="007C6E4B" w:rsidRPr="007D3D2C">
        <w:rPr>
          <w:rFonts w:ascii="Sylfaen" w:eastAsia="Calibri" w:hAnsi="Sylfaen" w:cs="Times New Roman"/>
          <w:lang w:val="ka-GE" w:eastAsia="zh-CN"/>
        </w:rPr>
        <w:t xml:space="preserve"> დაავადებების საერთაშორისო კლასიფიკაციის მე-9 გადახედვით ვარდნას მინიჭბული აქვს E880-E888, ხოლო მე-10 გადახედვით W00-W19 კოდები.</w:t>
      </w:r>
    </w:p>
    <w:p w:rsidR="00E530C9" w:rsidRPr="007D3D2C" w:rsidRDefault="00E530C9" w:rsidP="0065098A">
      <w:pPr>
        <w:spacing w:line="240" w:lineRule="auto"/>
        <w:jc w:val="both"/>
        <w:rPr>
          <w:rFonts w:ascii="Sylfaen" w:eastAsia="Calibri" w:hAnsi="Sylfaen" w:cs="Times New Roman"/>
          <w:lang w:val="ka-GE" w:eastAsia="zh-CN"/>
        </w:rPr>
      </w:pPr>
      <w:r w:rsidRPr="007D3D2C">
        <w:rPr>
          <w:rFonts w:ascii="Sylfaen" w:eastAsia="Calibri" w:hAnsi="Sylfaen" w:cs="Times New Roman"/>
          <w:lang w:val="ka-GE" w:eastAsia="zh-CN"/>
        </w:rPr>
        <w:lastRenderedPageBreak/>
        <w:t>65 წელს გადაშორებული ადამიანების 28-35%, ხოლო 70 წელზე მეტი ასაკის ადამიანების 32-42%, 2-4-ჯერ ეცემა წელიწადში. ასაკისა და სისუსტის მატებასთან ერთად დაცემის რიცხვიც იმატებს</w:t>
      </w:r>
      <w:r w:rsidRPr="007D3D2C">
        <w:rPr>
          <w:rStyle w:val="FootnoteReference"/>
          <w:rFonts w:ascii="Sylfaen" w:eastAsia="Calibri" w:hAnsi="Sylfaen" w:cs="Times New Roman"/>
          <w:lang w:val="ka-GE" w:eastAsia="zh-CN"/>
        </w:rPr>
        <w:footnoteReference w:id="1"/>
      </w:r>
      <w:r w:rsidRPr="007D3D2C">
        <w:rPr>
          <w:rFonts w:ascii="Sylfaen" w:eastAsia="Calibri" w:hAnsi="Sylfaen" w:cs="Times New Roman"/>
          <w:lang w:val="ka-GE" w:eastAsia="zh-CN"/>
        </w:rPr>
        <w:t xml:space="preserve">.  </w:t>
      </w:r>
    </w:p>
    <w:p w:rsidR="00D2007B" w:rsidRPr="007D3D2C" w:rsidRDefault="00E530C9" w:rsidP="0065098A">
      <w:pPr>
        <w:spacing w:after="0" w:line="240" w:lineRule="auto"/>
        <w:jc w:val="both"/>
        <w:rPr>
          <w:rFonts w:ascii="Sylfaen" w:eastAsia="Calibri" w:hAnsi="Sylfaen" w:cs="Times New Roman"/>
          <w:lang w:val="ka-GE" w:eastAsia="zh-CN"/>
        </w:rPr>
      </w:pPr>
      <w:r w:rsidRPr="007D3D2C">
        <w:rPr>
          <w:rFonts w:ascii="Sylfaen" w:eastAsia="Calibri" w:hAnsi="Sylfaen" w:cs="Times New Roman"/>
          <w:lang w:val="ka-GE" w:eastAsia="zh-CN"/>
        </w:rPr>
        <w:t>ჯანმრთელობის მსოფლიო ორგანიზაციის მონაცემებით ყოველწლიურად ვარდნის 646 000 ლეტალური შედეგით დასრულებული და 37.3 მილიონი სამედიცინო დახმარებას დაქვემდებარებული შემთხვევა ფიქსირდება. ვაშინგტონის ჯანმრთელობის შემაფასებელი ინსტიტუტის</w:t>
      </w:r>
      <w:r w:rsidRPr="007D3D2C">
        <w:rPr>
          <w:rFonts w:ascii="Sylfaen" w:eastAsia="Calibri" w:hAnsi="Sylfaen" w:cs="Times New Roman"/>
          <w:lang w:eastAsia="zh-CN"/>
        </w:rPr>
        <w:t xml:space="preserve"> (HIME)</w:t>
      </w:r>
      <w:r w:rsidRPr="007D3D2C">
        <w:rPr>
          <w:rFonts w:ascii="Sylfaen" w:eastAsia="Calibri" w:hAnsi="Sylfaen" w:cs="Times New Roman"/>
          <w:lang w:val="ka-GE" w:eastAsia="zh-CN"/>
        </w:rPr>
        <w:t xml:space="preserve"> 2017 წლის მონაცემებით,  ვარდნის მიზეზით მსოფლიოში 695770, ევროპაში 101094, ხოლო საქართველოში 262 ადამიანი გარდაიცვალა. ვარდნასთან დაკავშირებული ჯანმრთელობის ტვირთი ასოცირდება ძვლების მოტეხილობასთან, რომლის ეტიო-პათოგენეზში წამყვანია ოსტეოპოროზი. </w:t>
      </w:r>
    </w:p>
    <w:p w:rsidR="00141E8B" w:rsidRDefault="00141E8B" w:rsidP="0065098A">
      <w:pPr>
        <w:spacing w:after="0" w:line="240" w:lineRule="auto"/>
        <w:jc w:val="both"/>
        <w:rPr>
          <w:rFonts w:ascii="Sylfaen" w:eastAsia="Calibri" w:hAnsi="Sylfaen" w:cs="Times New Roman"/>
          <w:lang w:val="ka-GE" w:eastAsia="zh-CN"/>
        </w:rPr>
      </w:pPr>
    </w:p>
    <w:p w:rsidR="00D2007B" w:rsidRPr="007D3D2C" w:rsidRDefault="00D2007B" w:rsidP="0065098A">
      <w:pPr>
        <w:spacing w:after="0" w:line="240" w:lineRule="auto"/>
        <w:jc w:val="both"/>
        <w:rPr>
          <w:rFonts w:ascii="Sylfaen" w:eastAsia="Calibri" w:hAnsi="Sylfaen" w:cs="Times New Roman"/>
          <w:lang w:val="ka-GE" w:eastAsia="zh-CN"/>
        </w:rPr>
      </w:pPr>
      <w:r w:rsidRPr="007D3D2C">
        <w:rPr>
          <w:rFonts w:ascii="Sylfaen" w:eastAsia="Calibri" w:hAnsi="Sylfaen" w:cs="Times New Roman"/>
          <w:lang w:val="ka-GE" w:eastAsia="zh-CN"/>
        </w:rPr>
        <w:t>ოსტეოპოროზს ხშირად თანამედროვე ადამიანის დაავადებად მიიჩნევენ</w:t>
      </w:r>
      <w:r w:rsidR="00F539F0" w:rsidRPr="007D3D2C">
        <w:rPr>
          <w:rFonts w:ascii="Sylfaen" w:eastAsia="Calibri" w:hAnsi="Sylfaen" w:cs="Times New Roman"/>
          <w:lang w:val="ka-GE" w:eastAsia="zh-CN"/>
        </w:rPr>
        <w:t xml:space="preserve">. </w:t>
      </w:r>
      <w:r w:rsidRPr="007D3D2C">
        <w:rPr>
          <w:rFonts w:ascii="Sylfaen" w:eastAsia="Calibri" w:hAnsi="Sylfaen" w:cs="Times New Roman"/>
          <w:lang w:val="ka-GE" w:eastAsia="zh-CN"/>
        </w:rPr>
        <w:t xml:space="preserve">ოსტეოპოროზით სადღეისოდ დაავადებულია 50 წელს გადაცილებული  ყოველი მე-3 </w:t>
      </w:r>
      <w:r w:rsidR="0069233B">
        <w:rPr>
          <w:rFonts w:ascii="Sylfaen" w:eastAsia="Calibri" w:hAnsi="Sylfaen" w:cs="Times New Roman"/>
          <w:lang w:val="ka-GE" w:eastAsia="zh-CN"/>
        </w:rPr>
        <w:t>ქალ</w:t>
      </w:r>
      <w:r w:rsidRPr="007D3D2C">
        <w:rPr>
          <w:rFonts w:ascii="Sylfaen" w:eastAsia="Calibri" w:hAnsi="Sylfaen" w:cs="Times New Roman"/>
          <w:lang w:val="ka-GE" w:eastAsia="zh-CN"/>
        </w:rPr>
        <w:t>ი და ყოველი მე-5 მამაკაცი.</w:t>
      </w:r>
    </w:p>
    <w:p w:rsidR="00D2007B" w:rsidRPr="007D3D2C" w:rsidRDefault="00D2007B" w:rsidP="00141E8B">
      <w:pPr>
        <w:spacing w:after="0" w:line="276" w:lineRule="auto"/>
        <w:jc w:val="both"/>
        <w:rPr>
          <w:rFonts w:ascii="Sylfaen" w:eastAsia="Calibri" w:hAnsi="Sylfaen" w:cs="Times New Roman"/>
          <w:lang w:val="ka-GE" w:eastAsia="zh-CN"/>
        </w:rPr>
      </w:pPr>
    </w:p>
    <w:p w:rsidR="00D2007B" w:rsidRPr="007D3D2C" w:rsidRDefault="00D2007B" w:rsidP="0065098A">
      <w:pPr>
        <w:spacing w:before="240" w:line="240" w:lineRule="auto"/>
        <w:jc w:val="both"/>
        <w:rPr>
          <w:rFonts w:ascii="Sylfaen" w:eastAsia="Calibri" w:hAnsi="Sylfaen" w:cs="Times New Roman"/>
          <w:lang w:val="ka-GE" w:eastAsia="zh-CN"/>
        </w:rPr>
      </w:pPr>
      <w:r w:rsidRPr="007D3D2C">
        <w:rPr>
          <w:rFonts w:ascii="Sylfaen" w:eastAsia="Calibri" w:hAnsi="Sylfaen" w:cs="Times New Roman"/>
          <w:lang w:val="ka-GE" w:eastAsia="zh-CN"/>
        </w:rPr>
        <w:t>ოსტეოპოროზი</w:t>
      </w:r>
      <w:r w:rsidR="0069233B">
        <w:rPr>
          <w:rFonts w:ascii="Sylfaen" w:eastAsia="Calibri" w:hAnsi="Sylfaen" w:cs="Times New Roman"/>
          <w:lang w:val="ka-GE" w:eastAsia="zh-CN"/>
        </w:rPr>
        <w:t>ს</w:t>
      </w:r>
      <w:r w:rsidRPr="007D3D2C">
        <w:rPr>
          <w:rFonts w:ascii="Sylfaen" w:eastAsia="Calibri" w:hAnsi="Sylfaen" w:cs="Times New Roman"/>
          <w:lang w:val="ka-GE" w:eastAsia="zh-CN"/>
        </w:rPr>
        <w:t xml:space="preserve"> გავრცელება იზრდება პოპულაციის დაბერებასთან ერთად. NHANES III-ის მონაცემებზე დაყრდნობით 10 მილიონზე მეტ ამერიკელ მოქალაქეს აქვს ოსტეოპოროზი, ხოლო 33,6 მილიონს ბარძაყის ძვლის დაბალი მინერალური სიმკვრივე. ასევე კვლევამ აჩვენა, რომ </w:t>
      </w:r>
      <w:r w:rsidR="00402E74" w:rsidRPr="007D3D2C">
        <w:rPr>
          <w:rFonts w:ascii="Sylfaen" w:eastAsia="Calibri" w:hAnsi="Sylfaen" w:cs="Times New Roman"/>
          <w:lang w:val="ka-GE" w:eastAsia="zh-CN"/>
        </w:rPr>
        <w:t xml:space="preserve">ცხოვრების განმავლობაში </w:t>
      </w:r>
      <w:r w:rsidRPr="007D3D2C">
        <w:rPr>
          <w:rFonts w:ascii="Sylfaen" w:eastAsia="Calibri" w:hAnsi="Sylfaen" w:cs="Times New Roman"/>
          <w:lang w:val="ka-GE" w:eastAsia="zh-CN"/>
        </w:rPr>
        <w:t>კავკასიელი ქალების ნახევარი</w:t>
      </w:r>
      <w:r w:rsidR="00402E74" w:rsidRPr="007D3D2C">
        <w:rPr>
          <w:rFonts w:ascii="Sylfaen" w:eastAsia="Calibri" w:hAnsi="Sylfaen" w:cs="Times New Roman"/>
          <w:lang w:val="ka-GE" w:eastAsia="zh-CN"/>
        </w:rPr>
        <w:t xml:space="preserve"> და</w:t>
      </w:r>
      <w:r w:rsidRPr="007D3D2C">
        <w:rPr>
          <w:rFonts w:ascii="Sylfaen" w:eastAsia="Calibri" w:hAnsi="Sylfaen" w:cs="Times New Roman"/>
          <w:lang w:val="ka-GE" w:eastAsia="zh-CN"/>
        </w:rPr>
        <w:t xml:space="preserve"> 5 მამაკაციდან 1 </w:t>
      </w:r>
      <w:r w:rsidR="00402E74" w:rsidRPr="007D3D2C">
        <w:rPr>
          <w:rFonts w:ascii="Sylfaen" w:eastAsia="Calibri" w:hAnsi="Sylfaen" w:cs="Times New Roman"/>
          <w:lang w:val="ka-GE" w:eastAsia="zh-CN"/>
        </w:rPr>
        <w:t xml:space="preserve">იღებს </w:t>
      </w:r>
      <w:r w:rsidRPr="007D3D2C">
        <w:rPr>
          <w:rFonts w:ascii="Sylfaen" w:eastAsia="Calibri" w:hAnsi="Sylfaen" w:cs="Times New Roman"/>
          <w:lang w:val="ka-GE" w:eastAsia="zh-CN"/>
        </w:rPr>
        <w:t>ოსტეოპოროზულ მოტეხილობას</w:t>
      </w:r>
      <w:r w:rsidR="00402E74" w:rsidRPr="007D3D2C">
        <w:rPr>
          <w:rFonts w:ascii="Sylfaen" w:eastAsia="Calibri" w:hAnsi="Sylfaen" w:cs="Times New Roman"/>
          <w:lang w:val="ka-GE" w:eastAsia="zh-CN"/>
        </w:rPr>
        <w:t xml:space="preserve"> </w:t>
      </w:r>
      <w:r w:rsidRPr="007D3D2C">
        <w:rPr>
          <w:rFonts w:ascii="Sylfaen" w:eastAsia="Calibri" w:hAnsi="Sylfaen" w:cs="Times New Roman"/>
          <w:lang w:val="ka-GE" w:eastAsia="zh-CN"/>
        </w:rPr>
        <w:t xml:space="preserve"> </w:t>
      </w:r>
    </w:p>
    <w:p w:rsidR="001F60A7" w:rsidRPr="007D3D2C" w:rsidRDefault="00D2007B" w:rsidP="0065098A">
      <w:pPr>
        <w:spacing w:before="240" w:after="0" w:line="240" w:lineRule="auto"/>
        <w:jc w:val="both"/>
        <w:rPr>
          <w:rFonts w:ascii="Sylfaen" w:eastAsia="Calibri" w:hAnsi="Sylfaen" w:cs="Times New Roman"/>
          <w:lang w:val="ka-GE" w:eastAsia="zh-CN"/>
        </w:rPr>
      </w:pPr>
      <w:r w:rsidRPr="007D3D2C">
        <w:rPr>
          <w:rFonts w:ascii="Sylfaen" w:eastAsia="Calibri" w:hAnsi="Sylfaen" w:cs="Times New Roman"/>
          <w:lang w:val="ka-GE" w:eastAsia="zh-CN"/>
        </w:rPr>
        <w:t xml:space="preserve">ოსტეოპოროზთან დაკავშირებული მოტეხილობები ქმნიან მძიმე ეკონომიკურ ტვირთს. </w:t>
      </w:r>
      <w:r w:rsidR="00F539F0" w:rsidRPr="007D3D2C">
        <w:rPr>
          <w:rFonts w:ascii="Sylfaen" w:eastAsia="Calibri" w:hAnsi="Sylfaen" w:cs="Times New Roman"/>
          <w:lang w:val="ka-GE" w:eastAsia="zh-CN"/>
        </w:rPr>
        <w:t xml:space="preserve">ამერიკის შეერთებული შტატების მასშტაბით, </w:t>
      </w:r>
      <w:r w:rsidRPr="007D3D2C">
        <w:rPr>
          <w:rFonts w:ascii="Sylfaen" w:eastAsia="Calibri" w:hAnsi="Sylfaen" w:cs="Times New Roman"/>
          <w:lang w:val="ka-GE" w:eastAsia="zh-CN"/>
        </w:rPr>
        <w:t>ყოველწლიურად ფიქსირდება 432000 ჰოსპიტალიზაცია</w:t>
      </w:r>
      <w:r w:rsidR="00F539F0" w:rsidRPr="007D3D2C">
        <w:rPr>
          <w:rFonts w:ascii="Sylfaen" w:eastAsia="Calibri" w:hAnsi="Sylfaen" w:cs="Times New Roman"/>
          <w:lang w:val="ka-GE" w:eastAsia="zh-CN"/>
        </w:rPr>
        <w:t xml:space="preserve"> და </w:t>
      </w:r>
      <w:r w:rsidRPr="007D3D2C">
        <w:rPr>
          <w:rFonts w:ascii="Sylfaen" w:eastAsia="Calibri" w:hAnsi="Sylfaen" w:cs="Times New Roman"/>
          <w:lang w:val="ka-GE" w:eastAsia="zh-CN"/>
        </w:rPr>
        <w:t>2,5 მილიონი ვიზიტი სამედიცინო დაწესებულებებში</w:t>
      </w:r>
      <w:r w:rsidR="00F539F0" w:rsidRPr="007D3D2C">
        <w:rPr>
          <w:rFonts w:ascii="Sylfaen" w:eastAsia="Calibri" w:hAnsi="Sylfaen" w:cs="Times New Roman"/>
          <w:lang w:val="ka-GE" w:eastAsia="zh-CN"/>
        </w:rPr>
        <w:t xml:space="preserve">. </w:t>
      </w:r>
      <w:r w:rsidRPr="007D3D2C">
        <w:rPr>
          <w:rFonts w:ascii="Sylfaen" w:eastAsia="Calibri" w:hAnsi="Sylfaen" w:cs="Times New Roman"/>
          <w:lang w:val="ka-GE" w:eastAsia="zh-CN"/>
        </w:rPr>
        <w:t>2005 წელს ოსტეოპოროზით გამოწვეული მოტეხილობების ხარჯებმა შეადგინა 17 მილიარდი დოლარი. პოპულაციის დაბერებასთა ერთად Surgeon General-ი თვლის, რომ 2040 წლისთვის ეს ხარჯები გაორმაგდება ან გასამმაგდება.</w:t>
      </w:r>
    </w:p>
    <w:p w:rsidR="00402E74" w:rsidRPr="007D3D2C" w:rsidRDefault="001F60A7" w:rsidP="0065098A">
      <w:pPr>
        <w:spacing w:before="240" w:after="0" w:line="240" w:lineRule="auto"/>
        <w:jc w:val="both"/>
        <w:rPr>
          <w:rFonts w:ascii="Sylfaen" w:eastAsia="Calibri" w:hAnsi="Sylfaen" w:cs="Times New Roman"/>
          <w:lang w:val="ka-GE" w:eastAsia="zh-CN"/>
        </w:rPr>
      </w:pPr>
      <w:r w:rsidRPr="007D3D2C">
        <w:rPr>
          <w:rFonts w:ascii="Sylfaen" w:eastAsia="Calibri" w:hAnsi="Sylfaen" w:cs="Times New Roman"/>
          <w:lang w:val="ka-GE" w:eastAsia="zh-CN"/>
        </w:rPr>
        <w:t>ოსტეოპოროზის რისკი ქალებს მამაკაცებზე გაცილებ¬ით მაღალი აქვთ. ოსტეოპოროზის საერთაშორისო ორგანიზაციამ დაადგინა, რომ მთელ მსოფლიოში ეს დაავადება 200 მილიონ ქალს აქვს. ქალის ასაკის მატებასთან ერთად საკვერცხეების მიერ პროდუცირებული ესტროგენის რაოდენობა პროგრესულად მცირდება. მენოპაუზამდე (მენსტრუალური ციკლის შეწყვეტამდე) ქალებს მამაკაცებზე მეტი ესტროგენი აქვთ, მაგრამ მენოპაუზის შემდეგ მისი დონე მკვეთრად მცირდება. შესაბამისად, იზრდება ძვლის მინერალური სიმკვრივის კლებისა და ოსტეოპოროზის რისკი.</w:t>
      </w:r>
    </w:p>
    <w:p w:rsidR="0001177C" w:rsidRPr="007D3D2C" w:rsidRDefault="001F60A7" w:rsidP="0065098A">
      <w:pPr>
        <w:spacing w:before="240" w:line="240" w:lineRule="auto"/>
        <w:jc w:val="both"/>
        <w:rPr>
          <w:rFonts w:ascii="Sylfaen" w:eastAsia="Calibri" w:hAnsi="Sylfaen" w:cs="Times New Roman"/>
          <w:lang w:val="ka-GE" w:eastAsia="zh-CN"/>
        </w:rPr>
      </w:pPr>
      <w:r w:rsidRPr="007D3D2C">
        <w:rPr>
          <w:rFonts w:ascii="Sylfaen" w:eastAsia="Calibri" w:hAnsi="Sylfaen" w:cs="Times New Roman"/>
          <w:lang w:val="ka-GE" w:eastAsia="zh-CN"/>
        </w:rPr>
        <w:t xml:space="preserve">ძვლის რემოდელირების პროცესი </w:t>
      </w:r>
      <w:r w:rsidR="006676C8" w:rsidRPr="007D3D2C">
        <w:rPr>
          <w:rFonts w:ascii="Sylfaen" w:eastAsia="Calibri" w:hAnsi="Sylfaen" w:cs="Times New Roman"/>
          <w:lang w:val="ka-GE" w:eastAsia="zh-CN"/>
        </w:rPr>
        <w:t>(ძვლის</w:t>
      </w:r>
      <w:r w:rsidR="0069233B">
        <w:rPr>
          <w:rFonts w:ascii="Sylfaen" w:eastAsia="Calibri" w:hAnsi="Sylfaen" w:cs="Times New Roman"/>
          <w:lang w:val="ka-GE" w:eastAsia="zh-CN"/>
        </w:rPr>
        <w:t xml:space="preserve"> </w:t>
      </w:r>
      <w:r w:rsidR="0069233B" w:rsidRPr="007D3D2C">
        <w:rPr>
          <w:rFonts w:ascii="Sylfaen" w:eastAsia="Calibri" w:hAnsi="Sylfaen" w:cs="Times New Roman"/>
          <w:lang w:val="ka-GE" w:eastAsia="zh-CN"/>
        </w:rPr>
        <w:t>ძველი</w:t>
      </w:r>
      <w:r w:rsidR="0069233B">
        <w:rPr>
          <w:rFonts w:ascii="Sylfaen" w:eastAsia="Calibri" w:hAnsi="Sylfaen" w:cs="Times New Roman"/>
          <w:lang w:val="ka-GE" w:eastAsia="zh-CN"/>
        </w:rPr>
        <w:t xml:space="preserve"> ქსოვილის </w:t>
      </w:r>
      <w:r w:rsidR="006676C8" w:rsidRPr="007D3D2C">
        <w:rPr>
          <w:rFonts w:ascii="Sylfaen" w:eastAsia="Calibri" w:hAnsi="Sylfaen" w:cs="Times New Roman"/>
          <w:lang w:val="ka-GE" w:eastAsia="zh-CN"/>
        </w:rPr>
        <w:t xml:space="preserve">ჩანაცვლება ახლით) </w:t>
      </w:r>
      <w:r w:rsidRPr="007D3D2C">
        <w:rPr>
          <w:rFonts w:ascii="Sylfaen" w:eastAsia="Calibri" w:hAnsi="Sylfaen" w:cs="Times New Roman"/>
          <w:lang w:val="ka-GE" w:eastAsia="zh-CN"/>
        </w:rPr>
        <w:t>ინარჩუნებს ჯანმრთელ ჩონჩხს და უზრუნველყოფს ოსტეოპოროზის პრევენციას.  ძვლის მასის კარგვა ხდება მაშინ</w:t>
      </w:r>
      <w:r w:rsidR="006676C8" w:rsidRPr="007D3D2C">
        <w:rPr>
          <w:rFonts w:ascii="Sylfaen" w:eastAsia="Calibri" w:hAnsi="Sylfaen" w:cs="Times New Roman"/>
          <w:lang w:val="ka-GE" w:eastAsia="zh-CN"/>
        </w:rPr>
        <w:t xml:space="preserve">, როდესაც </w:t>
      </w:r>
      <w:r w:rsidRPr="007D3D2C">
        <w:rPr>
          <w:rFonts w:ascii="Sylfaen" w:eastAsia="Calibri" w:hAnsi="Sylfaen" w:cs="Times New Roman"/>
          <w:lang w:val="ka-GE" w:eastAsia="zh-CN"/>
        </w:rPr>
        <w:t>ძვალი ვეღარ ასწრებს ძველის ახლით ჩანაცვლებას</w:t>
      </w:r>
      <w:r w:rsidR="006676C8" w:rsidRPr="007D3D2C">
        <w:rPr>
          <w:rFonts w:ascii="Sylfaen" w:eastAsia="Calibri" w:hAnsi="Sylfaen" w:cs="Times New Roman"/>
          <w:lang w:val="ka-GE" w:eastAsia="zh-CN"/>
        </w:rPr>
        <w:t>.</w:t>
      </w:r>
      <w:r w:rsidRPr="007D3D2C">
        <w:rPr>
          <w:rFonts w:ascii="Sylfaen" w:eastAsia="Calibri" w:hAnsi="Sylfaen" w:cs="Times New Roman"/>
          <w:lang w:val="ka-GE" w:eastAsia="zh-CN"/>
        </w:rPr>
        <w:t xml:space="preserve"> მენოპაუზის დადგომასთან ერთად იზრდება ძვლის რემოდელირების ტემპი</w:t>
      </w:r>
      <w:r w:rsidR="006676C8" w:rsidRPr="007D3D2C">
        <w:rPr>
          <w:rFonts w:ascii="Sylfaen" w:eastAsia="Calibri" w:hAnsi="Sylfaen" w:cs="Times New Roman"/>
          <w:lang w:val="ka-GE" w:eastAsia="zh-CN"/>
        </w:rPr>
        <w:t xml:space="preserve"> და ვითარდება დისბალანსი</w:t>
      </w:r>
      <w:r w:rsidRPr="007D3D2C">
        <w:rPr>
          <w:rFonts w:ascii="Sylfaen" w:eastAsia="Calibri" w:hAnsi="Sylfaen" w:cs="Times New Roman"/>
          <w:lang w:val="ka-GE" w:eastAsia="zh-CN"/>
        </w:rPr>
        <w:t xml:space="preserve">. ძვლის ქსოვილის დანაკარგს მივყავართ ძვლის შენების დარღვევასთან და მოტეხილობის </w:t>
      </w:r>
      <w:r w:rsidRPr="007D3D2C">
        <w:rPr>
          <w:rFonts w:ascii="Sylfaen" w:eastAsia="Calibri" w:hAnsi="Sylfaen" w:cs="Times New Roman"/>
          <w:lang w:val="ka-GE" w:eastAsia="zh-CN"/>
        </w:rPr>
        <w:lastRenderedPageBreak/>
        <w:t>მომატებულ რისკთან. მოტეხილობა დიდ გავლენას ახდენს ქალის ცხოვრებაზე, მით უმეტეს თუკი მისი გამოსავალი ქრონიკული ტკივილი და უნარშეზღუდულობაა</w:t>
      </w:r>
      <w:r w:rsidR="006676C8" w:rsidRPr="007D3D2C">
        <w:rPr>
          <w:rFonts w:ascii="Sylfaen" w:eastAsia="Calibri" w:hAnsi="Sylfaen" w:cs="Times New Roman"/>
          <w:lang w:val="ka-GE" w:eastAsia="zh-CN"/>
        </w:rPr>
        <w:t>.</w:t>
      </w:r>
    </w:p>
    <w:p w:rsidR="007B455C" w:rsidRPr="007D3D2C" w:rsidRDefault="0001177C" w:rsidP="0065098A">
      <w:pPr>
        <w:spacing w:before="240" w:line="240" w:lineRule="auto"/>
        <w:jc w:val="both"/>
        <w:rPr>
          <w:rFonts w:ascii="Sylfaen" w:eastAsia="Calibri" w:hAnsi="Sylfaen" w:cs="Times New Roman"/>
          <w:lang w:val="ka-GE" w:eastAsia="zh-CN"/>
        </w:rPr>
      </w:pPr>
      <w:r w:rsidRPr="007D3D2C">
        <w:rPr>
          <w:rFonts w:ascii="Sylfaen" w:eastAsia="Calibri" w:hAnsi="Sylfaen" w:cs="Times New Roman"/>
          <w:lang w:val="ka-GE" w:eastAsia="zh-CN"/>
        </w:rPr>
        <w:t xml:space="preserve">სტატისტიკა (ამონარჩევში შედიან როგორც ქალები, ასევე კაცები) გვიჩვენებს, რომ ოსტეოპოროზით გაამოწვეული მოტეხილობების 46%-ში გვხვდება ხერხემლის მალის მოტეხილობა, 16%-ში ბარძაყის ძვლის ყელის, ხოლო 16%-ში სხივ-მაჯის ძვლების </w:t>
      </w:r>
      <w:r w:rsidR="0069233B">
        <w:rPr>
          <w:rFonts w:ascii="Sylfaen" w:eastAsia="Calibri" w:hAnsi="Sylfaen" w:cs="Times New Roman"/>
          <w:lang w:val="ka-GE" w:eastAsia="zh-CN"/>
        </w:rPr>
        <w:t>მოტეხილობ</w:t>
      </w:r>
      <w:r w:rsidRPr="007D3D2C">
        <w:rPr>
          <w:rFonts w:ascii="Sylfaen" w:eastAsia="Calibri" w:hAnsi="Sylfaen" w:cs="Times New Roman"/>
          <w:lang w:val="ka-GE" w:eastAsia="zh-CN"/>
        </w:rPr>
        <w:t>ი</w:t>
      </w:r>
      <w:r w:rsidR="0069233B">
        <w:rPr>
          <w:rFonts w:ascii="Sylfaen" w:eastAsia="Calibri" w:hAnsi="Sylfaen" w:cs="Times New Roman"/>
          <w:lang w:val="ka-GE" w:eastAsia="zh-CN"/>
        </w:rPr>
        <w:t>ს რისკი</w:t>
      </w:r>
      <w:r w:rsidRPr="007D3D2C">
        <w:rPr>
          <w:rFonts w:ascii="Sylfaen" w:eastAsia="Calibri" w:hAnsi="Sylfaen" w:cs="Times New Roman"/>
          <w:lang w:val="ka-GE" w:eastAsia="zh-CN"/>
        </w:rPr>
        <w:t>.</w:t>
      </w:r>
    </w:p>
    <w:p w:rsidR="0001177C" w:rsidRPr="007D3D2C" w:rsidRDefault="0001177C" w:rsidP="0065098A">
      <w:pPr>
        <w:spacing w:before="240" w:line="240" w:lineRule="auto"/>
        <w:jc w:val="both"/>
        <w:rPr>
          <w:rFonts w:ascii="Sylfaen" w:eastAsia="Calibri" w:hAnsi="Sylfaen" w:cs="Times New Roman"/>
          <w:lang w:val="ka-GE" w:eastAsia="zh-CN"/>
        </w:rPr>
      </w:pPr>
      <w:r w:rsidRPr="007D3D2C">
        <w:rPr>
          <w:rFonts w:ascii="Sylfaen" w:eastAsia="Calibri" w:hAnsi="Sylfaen" w:cs="Times New Roman"/>
          <w:lang w:val="ka-GE" w:eastAsia="zh-CN"/>
        </w:rPr>
        <w:t xml:space="preserve"> ქალებს</w:t>
      </w:r>
      <w:r w:rsidR="0069233B">
        <w:rPr>
          <w:rFonts w:ascii="Sylfaen" w:eastAsia="Calibri" w:hAnsi="Sylfaen" w:cs="Times New Roman"/>
          <w:lang w:val="ka-GE" w:eastAsia="zh-CN"/>
        </w:rPr>
        <w:t>,</w:t>
      </w:r>
      <w:r w:rsidRPr="007D3D2C">
        <w:rPr>
          <w:rFonts w:ascii="Sylfaen" w:eastAsia="Calibri" w:hAnsi="Sylfaen" w:cs="Times New Roman"/>
          <w:lang w:val="ka-GE" w:eastAsia="zh-CN"/>
        </w:rPr>
        <w:t xml:space="preserve"> რომელთაც აღენიშნებათ ხერხემლის მალის მოტეხილობა</w:t>
      </w:r>
      <w:r w:rsidR="0096376C">
        <w:rPr>
          <w:rFonts w:ascii="Sylfaen" w:eastAsia="Calibri" w:hAnsi="Sylfaen" w:cs="Times New Roman"/>
          <w:lang w:val="ka-GE" w:eastAsia="zh-CN"/>
        </w:rPr>
        <w:t>,</w:t>
      </w:r>
      <w:r w:rsidRPr="007D3D2C">
        <w:rPr>
          <w:rFonts w:ascii="Sylfaen" w:eastAsia="Calibri" w:hAnsi="Sylfaen" w:cs="Times New Roman"/>
          <w:lang w:val="ka-GE" w:eastAsia="zh-CN"/>
        </w:rPr>
        <w:t xml:space="preserve"> 5-ჯერ აქვთ მომატებული განმეორებითი მოტეხილობა .</w:t>
      </w:r>
    </w:p>
    <w:p w:rsidR="0001177C" w:rsidRPr="007D3D2C" w:rsidRDefault="0001177C" w:rsidP="0065098A">
      <w:pPr>
        <w:spacing w:before="240" w:after="0" w:line="240" w:lineRule="auto"/>
        <w:jc w:val="both"/>
        <w:rPr>
          <w:rFonts w:ascii="Sylfaen" w:eastAsia="Calibri" w:hAnsi="Sylfaen" w:cs="Times New Roman"/>
          <w:lang w:val="ka-GE" w:eastAsia="zh-CN"/>
        </w:rPr>
      </w:pPr>
      <w:r w:rsidRPr="007D3D2C">
        <w:rPr>
          <w:rFonts w:ascii="Sylfaen" w:eastAsia="Calibri" w:hAnsi="Sylfaen" w:cs="Times New Roman"/>
          <w:lang w:val="ka-GE" w:eastAsia="zh-CN"/>
        </w:rPr>
        <w:t>ბარძაყის ძვლის მოტეხილობა, როგორც წესი 15 წლით ჩამორჩება ხერხემლის მალებისა და სხივ-მაჯის ძვლების მოტეხილობას, თუმცა თითქმის ყოველთვის საჭიროებს ჰოსპიტალიზაციას. ბევრ ქვეყანაში, 45 წელს გადაშორებულ ქალ</w:t>
      </w:r>
      <w:r w:rsidR="00F65A35">
        <w:rPr>
          <w:rFonts w:ascii="Sylfaen" w:eastAsia="Calibri" w:hAnsi="Sylfaen" w:cs="Times New Roman"/>
          <w:lang w:val="ka-GE" w:eastAsia="zh-CN"/>
        </w:rPr>
        <w:t>ებ</w:t>
      </w:r>
      <w:r w:rsidRPr="007D3D2C">
        <w:rPr>
          <w:rFonts w:ascii="Sylfaen" w:eastAsia="Calibri" w:hAnsi="Sylfaen" w:cs="Times New Roman"/>
          <w:lang w:val="ka-GE" w:eastAsia="zh-CN"/>
        </w:rPr>
        <w:t xml:space="preserve"> ოსტეოპოროზით გამოწვეული ჰოსპიტალიზაციის დღეების რაოდენობა აჭარბებს სხვა დაავადებებით გამოწვეული ჰოსპიტალიზაციის დღეების რაოდენობას. ყოველწლიურად კი ევროპასა და ამერიკაში </w:t>
      </w:r>
      <w:r w:rsidR="00F65A35" w:rsidRPr="007D3D2C">
        <w:rPr>
          <w:rFonts w:ascii="Sylfaen" w:eastAsia="Calibri" w:hAnsi="Sylfaen" w:cs="Times New Roman"/>
          <w:lang w:val="ka-GE" w:eastAsia="zh-CN"/>
        </w:rPr>
        <w:t>2,3 მილიონი ოსტეოპოროზული მოტეხილობის სამკურნალოდ</w:t>
      </w:r>
      <w:r w:rsidRPr="007D3D2C">
        <w:rPr>
          <w:rFonts w:ascii="Sylfaen" w:eastAsia="Calibri" w:hAnsi="Sylfaen" w:cs="Times New Roman"/>
          <w:lang w:val="ka-GE" w:eastAsia="zh-CN"/>
        </w:rPr>
        <w:t xml:space="preserve"> 2,7 მილიარდი დოლარი </w:t>
      </w:r>
      <w:r w:rsidR="00F65A35" w:rsidRPr="007D3D2C">
        <w:rPr>
          <w:rFonts w:ascii="Sylfaen" w:eastAsia="Calibri" w:hAnsi="Sylfaen" w:cs="Times New Roman"/>
          <w:lang w:val="ka-GE" w:eastAsia="zh-CN"/>
        </w:rPr>
        <w:t>იხარჯება</w:t>
      </w:r>
      <w:r w:rsidR="00F65A35">
        <w:rPr>
          <w:rFonts w:ascii="Sylfaen" w:eastAsia="Calibri" w:hAnsi="Sylfaen" w:cs="Times New Roman"/>
          <w:lang w:val="ka-GE" w:eastAsia="zh-CN"/>
        </w:rPr>
        <w:t>.</w:t>
      </w:r>
    </w:p>
    <w:p w:rsidR="007B455C" w:rsidRPr="007D3D2C" w:rsidRDefault="007B455C" w:rsidP="0065098A">
      <w:pPr>
        <w:spacing w:before="240" w:after="0" w:line="240" w:lineRule="auto"/>
        <w:jc w:val="both"/>
        <w:rPr>
          <w:rFonts w:ascii="Sylfaen" w:eastAsia="Calibri" w:hAnsi="Sylfaen" w:cs="Times New Roman"/>
          <w:lang w:val="ka-GE" w:eastAsia="zh-CN"/>
        </w:rPr>
      </w:pPr>
      <w:r w:rsidRPr="007D3D2C">
        <w:rPr>
          <w:rFonts w:ascii="Sylfaen" w:eastAsia="Calibri" w:hAnsi="Sylfaen" w:cs="Times New Roman"/>
          <w:lang w:val="ka-GE" w:eastAsia="zh-CN"/>
        </w:rPr>
        <w:t xml:space="preserve">ბარძაყის ძვლის მოტეხილობის შემთხვევაში სიკვდილიანობა 10-20%-ს აღწევს. გარდა ამისა, ბარძაყის ძვლის მოტეხილობა 2,5-ჯერ ზრდის სხვა მომავალი მოტეხილობის რისკს. პაციენტების დაახლოებით 20%-ს სჭირდება  ბინაზე მოვლის ხანგრძლივი სერვისი, ხოლო სრული გამოჯანმრთელება მხოლოდ 40%-ში ხდება. სიკვდილიანობის მაღალი მაჩვენებლით გამოირჩევა ხერხემლის მალის მოტეხილობა. ამ მოტეხილობას თან ახლავს ზურგის ტკივილი, სიმაღლის კლება და კიფოზი. კიფოზთან ასოცირებულმა პოსტურალურმა ცვლილებებმა შეიძლება შეზღუდოს აქტივობა, მათ შორის შესაძლოა გართულდეს დახრა და ხელის წინ განზიდვა. გულმკერდის მალების მრავლობითმა მოტეხილობამ შესაძლოა გამოიწვიოს ფილტვის რესტრიქციული დაავადება. წელის მალების მოტეხილობებმა შეიძლება შეცვალოს მუცლის ღრუს ანატომია, </w:t>
      </w:r>
      <w:r w:rsidR="00F65A35">
        <w:rPr>
          <w:rFonts w:ascii="Sylfaen" w:eastAsia="Calibri" w:hAnsi="Sylfaen" w:cs="Times New Roman"/>
          <w:lang w:val="ka-GE" w:eastAsia="zh-CN"/>
        </w:rPr>
        <w:t>რას</w:t>
      </w:r>
      <w:r w:rsidRPr="007D3D2C">
        <w:rPr>
          <w:rFonts w:ascii="Sylfaen" w:eastAsia="Calibri" w:hAnsi="Sylfaen" w:cs="Times New Roman"/>
          <w:lang w:val="ka-GE" w:eastAsia="zh-CN"/>
        </w:rPr>
        <w:t>აც შეიძლება მ</w:t>
      </w:r>
      <w:r w:rsidR="00F65A35">
        <w:rPr>
          <w:rFonts w:ascii="Sylfaen" w:eastAsia="Calibri" w:hAnsi="Sylfaen" w:cs="Times New Roman"/>
          <w:lang w:val="ka-GE" w:eastAsia="zh-CN"/>
        </w:rPr>
        <w:t>ოჰყვე</w:t>
      </w:r>
      <w:r w:rsidRPr="007D3D2C">
        <w:rPr>
          <w:rFonts w:ascii="Sylfaen" w:eastAsia="Calibri" w:hAnsi="Sylfaen" w:cs="Times New Roman"/>
          <w:lang w:val="ka-GE" w:eastAsia="zh-CN"/>
        </w:rPr>
        <w:t>ს გაუვალობა, მუცლის ტკივილ</w:t>
      </w:r>
      <w:r w:rsidR="00F65A35">
        <w:rPr>
          <w:rFonts w:ascii="Sylfaen" w:eastAsia="Calibri" w:hAnsi="Sylfaen" w:cs="Times New Roman"/>
          <w:lang w:val="ka-GE" w:eastAsia="zh-CN"/>
        </w:rPr>
        <w:t>ი</w:t>
      </w:r>
      <w:r w:rsidRPr="007D3D2C">
        <w:rPr>
          <w:rFonts w:ascii="Sylfaen" w:eastAsia="Calibri" w:hAnsi="Sylfaen" w:cs="Times New Roman"/>
          <w:lang w:val="ka-GE" w:eastAsia="zh-CN"/>
        </w:rPr>
        <w:t>, შებერილობა</w:t>
      </w:r>
      <w:r w:rsidR="00F65A35">
        <w:rPr>
          <w:rFonts w:ascii="Sylfaen" w:eastAsia="Calibri" w:hAnsi="Sylfaen" w:cs="Times New Roman"/>
          <w:lang w:val="ka-GE" w:eastAsia="zh-CN"/>
        </w:rPr>
        <w:t>,</w:t>
      </w:r>
      <w:r w:rsidRPr="007D3D2C">
        <w:rPr>
          <w:rFonts w:ascii="Sylfaen" w:eastAsia="Calibri" w:hAnsi="Sylfaen" w:cs="Times New Roman"/>
          <w:lang w:val="ka-GE" w:eastAsia="zh-CN"/>
        </w:rPr>
        <w:t xml:space="preserve"> მადის დაკარგვა</w:t>
      </w:r>
      <w:r w:rsidR="00F65A35">
        <w:rPr>
          <w:rFonts w:ascii="Sylfaen" w:eastAsia="Calibri" w:hAnsi="Sylfaen" w:cs="Times New Roman"/>
          <w:lang w:val="ka-GE" w:eastAsia="zh-CN"/>
        </w:rPr>
        <w:t>.</w:t>
      </w:r>
      <w:r w:rsidRPr="007D3D2C">
        <w:rPr>
          <w:rFonts w:ascii="Sylfaen" w:eastAsia="Calibri" w:hAnsi="Sylfaen" w:cs="Times New Roman"/>
          <w:lang w:val="ka-GE" w:eastAsia="zh-CN"/>
        </w:rPr>
        <w:t xml:space="preserve"> მაჯის ძვლების მოტეხილობების დროს </w:t>
      </w:r>
      <w:r w:rsidR="00F65A35" w:rsidRPr="007D3D2C">
        <w:rPr>
          <w:rFonts w:ascii="Sylfaen" w:eastAsia="Calibri" w:hAnsi="Sylfaen" w:cs="Times New Roman"/>
          <w:lang w:val="ka-GE" w:eastAsia="zh-CN"/>
        </w:rPr>
        <w:t>უნარშეზღუდულობა</w:t>
      </w:r>
      <w:r w:rsidR="00F65A35">
        <w:rPr>
          <w:rFonts w:ascii="Sylfaen" w:eastAsia="Calibri" w:hAnsi="Sylfaen" w:cs="Times New Roman"/>
          <w:lang w:val="ka-GE" w:eastAsia="zh-CN"/>
        </w:rPr>
        <w:t xml:space="preserve"> </w:t>
      </w:r>
      <w:r w:rsidRPr="007D3D2C">
        <w:rPr>
          <w:rFonts w:ascii="Sylfaen" w:eastAsia="Calibri" w:hAnsi="Sylfaen" w:cs="Times New Roman"/>
          <w:lang w:val="ka-GE" w:eastAsia="zh-CN"/>
        </w:rPr>
        <w:t>ნაკლები</w:t>
      </w:r>
      <w:r w:rsidR="00F65A35">
        <w:rPr>
          <w:rFonts w:ascii="Sylfaen" w:eastAsia="Calibri" w:hAnsi="Sylfaen" w:cs="Times New Roman"/>
          <w:lang w:val="ka-GE" w:eastAsia="zh-CN"/>
        </w:rPr>
        <w:t>ა</w:t>
      </w:r>
      <w:r w:rsidRPr="007D3D2C">
        <w:rPr>
          <w:rFonts w:ascii="Sylfaen" w:eastAsia="Calibri" w:hAnsi="Sylfaen" w:cs="Times New Roman"/>
          <w:lang w:val="ka-GE" w:eastAsia="zh-CN"/>
        </w:rPr>
        <w:t>.</w:t>
      </w:r>
    </w:p>
    <w:p w:rsidR="007B455C" w:rsidRPr="007D3D2C" w:rsidRDefault="0001177C" w:rsidP="0065098A">
      <w:pPr>
        <w:spacing w:before="240" w:after="0" w:line="240" w:lineRule="auto"/>
        <w:jc w:val="both"/>
        <w:rPr>
          <w:rFonts w:ascii="Sylfaen" w:eastAsia="Calibri" w:hAnsi="Sylfaen" w:cs="Times New Roman"/>
          <w:lang w:val="ka-GE" w:eastAsia="zh-CN"/>
        </w:rPr>
      </w:pPr>
      <w:r w:rsidRPr="007D3D2C">
        <w:rPr>
          <w:rFonts w:ascii="Sylfaen" w:eastAsia="Calibri" w:hAnsi="Sylfaen" w:cs="Times New Roman"/>
          <w:lang w:val="ka-GE" w:eastAsia="zh-CN"/>
        </w:rPr>
        <w:t xml:space="preserve">უკანასკნელი 10 წლის განმავლობაში, მნიშვნელოვანი პროგრესი იქნა მიღწეული ოსტეოპოროზის რისკ-ფაქტორების </w:t>
      </w:r>
      <w:r w:rsidR="00F65A35">
        <w:rPr>
          <w:rFonts w:ascii="Sylfaen" w:eastAsia="Calibri" w:hAnsi="Sylfaen" w:cs="Times New Roman"/>
          <w:lang w:val="ka-GE" w:eastAsia="zh-CN"/>
        </w:rPr>
        <w:t>იდენტ</w:t>
      </w:r>
      <w:r w:rsidRPr="007D3D2C">
        <w:rPr>
          <w:rFonts w:ascii="Sylfaen" w:eastAsia="Calibri" w:hAnsi="Sylfaen" w:cs="Times New Roman"/>
          <w:lang w:val="ka-GE" w:eastAsia="zh-CN"/>
        </w:rPr>
        <w:t>იფიკაციაში, ადრეულ დიაგნოსტიკასა და იმ აგენტების განვითარებაში, რომლებიც ეფექტურია ოსტეოპოროზის როგორც პრევენციაში, ასევე მკურნალობაში.</w:t>
      </w:r>
    </w:p>
    <w:p w:rsidR="00853CB9" w:rsidRDefault="007B455C" w:rsidP="0065098A">
      <w:pPr>
        <w:spacing w:before="240" w:line="240" w:lineRule="auto"/>
        <w:jc w:val="both"/>
        <w:rPr>
          <w:rFonts w:ascii="Sylfaen" w:eastAsia="Calibri" w:hAnsi="Sylfaen" w:cs="Sylfaen"/>
          <w:lang w:val="ka-GE" w:eastAsia="zh-CN"/>
        </w:rPr>
      </w:pPr>
      <w:r w:rsidRPr="007D3D2C">
        <w:rPr>
          <w:rFonts w:ascii="Sylfaen" w:eastAsia="Calibri" w:hAnsi="Sylfaen" w:cs="Sylfaen"/>
          <w:lang w:val="ka-GE" w:eastAsia="zh-CN"/>
        </w:rPr>
        <w:t>ოსტეოპოროზის</w:t>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საერთაშორისო</w:t>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ფონდის</w:t>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პარტნიორობით</w:t>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ჩატარდა</w:t>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კვლევა</w:t>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რომელშიც</w:t>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ჩართული</w:t>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იყო</w:t>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მსოფლიოს</w:t>
      </w:r>
      <w:r w:rsidRPr="007D3D2C">
        <w:rPr>
          <w:rFonts w:ascii="Sylfaen" w:eastAsia="Calibri" w:hAnsi="Sylfaen" w:cs="Times New Roman"/>
          <w:lang w:val="ka-GE" w:eastAsia="zh-CN"/>
        </w:rPr>
        <w:t xml:space="preserve"> 11 </w:t>
      </w:r>
      <w:r w:rsidRPr="007D3D2C">
        <w:rPr>
          <w:rFonts w:ascii="Sylfaen" w:eastAsia="Calibri" w:hAnsi="Sylfaen" w:cs="Sylfaen"/>
          <w:lang w:val="ka-GE" w:eastAsia="zh-CN"/>
        </w:rPr>
        <w:t>ქვეყანა</w:t>
      </w:r>
      <w:r w:rsidRPr="007D3D2C">
        <w:rPr>
          <w:rStyle w:val="FootnoteReference"/>
          <w:rFonts w:ascii="Sylfaen" w:eastAsia="Calibri" w:hAnsi="Sylfaen" w:cs="Sylfaen"/>
          <w:lang w:val="ka-GE" w:eastAsia="zh-CN"/>
        </w:rPr>
        <w:footnoteReference w:id="2"/>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კვლევის</w:t>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მიზანი</w:t>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იყო</w:t>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შეესწავლათ</w:t>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როგორც</w:t>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ქალ</w:t>
      </w:r>
      <w:r w:rsidR="00FD544A">
        <w:rPr>
          <w:rFonts w:ascii="Sylfaen" w:eastAsia="Calibri" w:hAnsi="Sylfaen" w:cs="Sylfaen"/>
          <w:lang w:val="ka-GE" w:eastAsia="zh-CN"/>
        </w:rPr>
        <w:t>თა</w:t>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დამოკიდებულება</w:t>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ოსტეოპოროზის</w:t>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პრევენციის</w:t>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და</w:t>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მკურნალობის</w:t>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მიმართ</w:t>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ასევე</w:t>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თანამედროვე</w:t>
      </w:r>
      <w:r w:rsidRPr="007D3D2C">
        <w:rPr>
          <w:rFonts w:ascii="Sylfaen" w:eastAsia="Calibri" w:hAnsi="Sylfaen" w:cs="Times New Roman"/>
          <w:lang w:val="ka-GE" w:eastAsia="zh-CN"/>
        </w:rPr>
        <w:t xml:space="preserve"> </w:t>
      </w:r>
      <w:r w:rsidRPr="007D3D2C">
        <w:rPr>
          <w:rFonts w:ascii="Sylfaen" w:eastAsia="Calibri" w:hAnsi="Sylfaen" w:cs="Sylfaen"/>
          <w:lang w:val="ka-GE" w:eastAsia="zh-CN"/>
        </w:rPr>
        <w:t>მიდგომები</w:t>
      </w:r>
      <w:r w:rsidR="00853CB9">
        <w:rPr>
          <w:rFonts w:ascii="Sylfaen" w:eastAsia="Calibri" w:hAnsi="Sylfaen" w:cs="Sylfaen"/>
          <w:lang w:val="ka-GE" w:eastAsia="zh-CN"/>
        </w:rPr>
        <w:t>.</w:t>
      </w:r>
    </w:p>
    <w:p w:rsidR="00E17747" w:rsidRPr="007D3D2C" w:rsidRDefault="00E17747" w:rsidP="0065098A">
      <w:pPr>
        <w:spacing w:before="240" w:line="240" w:lineRule="auto"/>
        <w:jc w:val="both"/>
        <w:rPr>
          <w:rFonts w:ascii="Sylfaen" w:eastAsia="Calibri" w:hAnsi="Sylfaen" w:cs="Times New Roman"/>
          <w:lang w:val="ka-GE" w:eastAsia="zh-CN"/>
        </w:rPr>
      </w:pPr>
      <w:r w:rsidRPr="007D3D2C">
        <w:rPr>
          <w:rFonts w:ascii="Sylfaen" w:eastAsia="Calibri" w:hAnsi="Sylfaen" w:cs="Times New Roman"/>
          <w:lang w:val="ka-GE" w:eastAsia="zh-CN"/>
        </w:rPr>
        <w:lastRenderedPageBreak/>
        <w:t xml:space="preserve">კვლევამ </w:t>
      </w:r>
      <w:r w:rsidR="007B455C" w:rsidRPr="007D3D2C">
        <w:rPr>
          <w:rFonts w:ascii="Sylfaen" w:eastAsia="Calibri" w:hAnsi="Sylfaen" w:cs="Times New Roman"/>
          <w:lang w:val="ka-GE" w:eastAsia="zh-CN"/>
        </w:rPr>
        <w:t>ა</w:t>
      </w:r>
      <w:r w:rsidRPr="007D3D2C">
        <w:rPr>
          <w:rFonts w:ascii="Sylfaen" w:eastAsia="Calibri" w:hAnsi="Sylfaen" w:cs="Times New Roman"/>
          <w:lang w:val="ka-GE" w:eastAsia="zh-CN"/>
        </w:rPr>
        <w:t>ჩვენა</w:t>
      </w:r>
      <w:r w:rsidR="007B455C" w:rsidRPr="007D3D2C">
        <w:rPr>
          <w:rFonts w:ascii="Sylfaen" w:eastAsia="Calibri" w:hAnsi="Sylfaen" w:cs="Times New Roman"/>
          <w:lang w:val="ka-GE" w:eastAsia="zh-CN"/>
        </w:rPr>
        <w:t>, რომ</w:t>
      </w:r>
      <w:r w:rsidRPr="007D3D2C">
        <w:rPr>
          <w:rFonts w:ascii="Sylfaen" w:eastAsia="Calibri" w:hAnsi="Sylfaen" w:cs="Times New Roman"/>
          <w:lang w:val="ka-GE" w:eastAsia="zh-CN"/>
        </w:rPr>
        <w:t>:</w:t>
      </w:r>
    </w:p>
    <w:p w:rsidR="00E17747" w:rsidRPr="007D3D2C" w:rsidRDefault="00E17747" w:rsidP="0065098A">
      <w:pPr>
        <w:pStyle w:val="ListParagraph"/>
        <w:numPr>
          <w:ilvl w:val="0"/>
          <w:numId w:val="2"/>
        </w:numPr>
        <w:spacing w:before="240" w:line="240" w:lineRule="auto"/>
        <w:jc w:val="both"/>
        <w:rPr>
          <w:rFonts w:ascii="Sylfaen" w:eastAsia="Calibri" w:hAnsi="Sylfaen" w:cs="Times New Roman"/>
          <w:lang w:val="ka-GE" w:eastAsia="zh-CN"/>
        </w:rPr>
      </w:pPr>
      <w:r w:rsidRPr="007D3D2C">
        <w:rPr>
          <w:rFonts w:ascii="Sylfaen" w:eastAsia="Calibri" w:hAnsi="Sylfaen" w:cs="Times New Roman"/>
          <w:lang w:val="ka-GE" w:eastAsia="zh-CN"/>
        </w:rPr>
        <w:t>ყოველი 3-დან 1 ქალს აღენიშნება ოსტეოპოროზი, თუმცა მხოლოდ 10-დან 8 მიიჩნევს, რომ არის დაავადების რისკის ქვეშ;</w:t>
      </w:r>
    </w:p>
    <w:p w:rsidR="00E17747" w:rsidRPr="007D3D2C" w:rsidRDefault="00E17747" w:rsidP="0065098A">
      <w:pPr>
        <w:pStyle w:val="ListParagraph"/>
        <w:numPr>
          <w:ilvl w:val="0"/>
          <w:numId w:val="2"/>
        </w:numPr>
        <w:spacing w:before="240" w:line="240" w:lineRule="auto"/>
        <w:jc w:val="both"/>
        <w:rPr>
          <w:rFonts w:ascii="Sylfaen" w:eastAsia="Calibri" w:hAnsi="Sylfaen" w:cs="Times New Roman"/>
          <w:lang w:val="ka-GE" w:eastAsia="zh-CN"/>
        </w:rPr>
      </w:pPr>
      <w:r w:rsidRPr="007D3D2C">
        <w:rPr>
          <w:rFonts w:ascii="Sylfaen" w:eastAsia="Calibri" w:hAnsi="Sylfaen" w:cs="Times New Roman"/>
          <w:lang w:val="ka-GE" w:eastAsia="zh-CN"/>
        </w:rPr>
        <w:t>არ ხდება ოსტეოპოროზის რისკის ქვეშ მყოფი ქალების დროული იდენტიფიცირება, რაც ხელს უშლის დროულ დიაგნოსტიკასა და მკურნალობას;</w:t>
      </w:r>
    </w:p>
    <w:p w:rsidR="00E17747" w:rsidRPr="007D3D2C" w:rsidRDefault="00E17747" w:rsidP="0065098A">
      <w:pPr>
        <w:pStyle w:val="ListParagraph"/>
        <w:numPr>
          <w:ilvl w:val="0"/>
          <w:numId w:val="2"/>
        </w:numPr>
        <w:spacing w:before="240" w:line="240" w:lineRule="auto"/>
        <w:jc w:val="both"/>
        <w:rPr>
          <w:rFonts w:ascii="Sylfaen" w:eastAsia="Calibri" w:hAnsi="Sylfaen" w:cs="Times New Roman"/>
          <w:lang w:val="ka-GE" w:eastAsia="zh-CN"/>
        </w:rPr>
      </w:pPr>
      <w:r w:rsidRPr="007D3D2C">
        <w:rPr>
          <w:rFonts w:ascii="Sylfaen" w:eastAsia="Calibri" w:hAnsi="Sylfaen" w:cs="Times New Roman"/>
          <w:lang w:val="ka-GE" w:eastAsia="zh-CN"/>
        </w:rPr>
        <w:t xml:space="preserve">მიუხედავად ექიმების სურვილისა, რომ მოახდინონ ოსტეოპოროზის პრევენცია, ისინი არ იწყებენ მედიკამენტებით მკურნალობას მოტეხილობამდე. </w:t>
      </w:r>
    </w:p>
    <w:p w:rsidR="00E17747" w:rsidRPr="00803F8C" w:rsidRDefault="00E17747" w:rsidP="0065098A">
      <w:pPr>
        <w:pStyle w:val="ListParagraph"/>
        <w:numPr>
          <w:ilvl w:val="0"/>
          <w:numId w:val="2"/>
        </w:numPr>
        <w:spacing w:before="240" w:line="240" w:lineRule="auto"/>
        <w:jc w:val="both"/>
        <w:rPr>
          <w:rFonts w:ascii="Sylfaen" w:eastAsia="Calibri" w:hAnsi="Sylfaen" w:cs="Times New Roman"/>
          <w:lang w:val="ka-GE" w:eastAsia="zh-CN"/>
        </w:rPr>
      </w:pPr>
      <w:r w:rsidRPr="007D3D2C">
        <w:rPr>
          <w:rFonts w:ascii="Sylfaen" w:eastAsia="Calibri" w:hAnsi="Sylfaen" w:cs="Times New Roman"/>
          <w:lang w:val="ka-GE" w:eastAsia="zh-CN"/>
        </w:rPr>
        <w:t xml:space="preserve">ის ბარიერები, რომლებიც გვხვდება ოსტეოპოროზის კონტროლსა და პრევენციაში. შესაბამისად </w:t>
      </w:r>
      <w:r w:rsidR="00853CB9">
        <w:rPr>
          <w:rFonts w:ascii="Sylfaen" w:eastAsia="Calibri" w:hAnsi="Sylfaen" w:cs="Times New Roman"/>
          <w:lang w:val="ka-GE" w:eastAsia="zh-CN"/>
        </w:rPr>
        <w:t>საჭირო ხდება</w:t>
      </w:r>
      <w:r w:rsidRPr="007D3D2C">
        <w:rPr>
          <w:rFonts w:ascii="Sylfaen" w:eastAsia="Calibri" w:hAnsi="Sylfaen" w:cs="Times New Roman"/>
          <w:lang w:val="ka-GE" w:eastAsia="zh-CN"/>
        </w:rPr>
        <w:t xml:space="preserve"> ჩვენი ამჟამინდელი მიდგომები</w:t>
      </w:r>
      <w:r w:rsidR="00853CB9">
        <w:rPr>
          <w:rFonts w:ascii="Sylfaen" w:eastAsia="Calibri" w:hAnsi="Sylfaen" w:cs="Times New Roman"/>
          <w:lang w:val="ka-GE" w:eastAsia="zh-CN"/>
        </w:rPr>
        <w:t>ს მიმოხილვა</w:t>
      </w:r>
      <w:r w:rsidRPr="007D3D2C">
        <w:rPr>
          <w:rFonts w:ascii="Sylfaen" w:eastAsia="Calibri" w:hAnsi="Sylfaen" w:cs="Times New Roman"/>
          <w:lang w:val="ka-GE" w:eastAsia="zh-CN"/>
        </w:rPr>
        <w:t>.</w:t>
      </w:r>
    </w:p>
    <w:p w:rsidR="00812D58" w:rsidRPr="007D3D2C" w:rsidRDefault="00812D58" w:rsidP="0065098A">
      <w:pPr>
        <w:spacing w:before="240" w:line="240" w:lineRule="auto"/>
        <w:jc w:val="both"/>
        <w:rPr>
          <w:rFonts w:ascii="Sylfaen" w:eastAsia="Calibri" w:hAnsi="Sylfaen" w:cs="Times New Roman"/>
          <w:lang w:val="ka-GE" w:eastAsia="zh-CN"/>
        </w:rPr>
      </w:pPr>
      <w:r w:rsidRPr="007D3D2C">
        <w:rPr>
          <w:rFonts w:ascii="Sylfaen" w:eastAsia="Calibri" w:hAnsi="Sylfaen" w:cs="Times New Roman"/>
          <w:lang w:val="ka-GE" w:eastAsia="zh-CN"/>
        </w:rPr>
        <w:t xml:space="preserve">საქართველოში სხეულის დაზიანება სიკვდილის </w:t>
      </w:r>
      <w:r w:rsidR="009A6B55">
        <w:rPr>
          <w:rFonts w:ascii="Sylfaen" w:eastAsia="Calibri" w:hAnsi="Sylfaen" w:cs="Times New Roman"/>
          <w:lang w:val="ka-GE" w:eastAsia="zh-CN"/>
        </w:rPr>
        <w:t xml:space="preserve">ალბათ სიხშირით, </w:t>
      </w:r>
      <w:r w:rsidRPr="007D3D2C">
        <w:rPr>
          <w:rFonts w:ascii="Sylfaen" w:eastAsia="Calibri" w:hAnsi="Sylfaen" w:cs="Times New Roman"/>
          <w:lang w:val="ka-GE" w:eastAsia="zh-CN"/>
        </w:rPr>
        <w:t xml:space="preserve">მეოთხე მიზეზს წარმოადგენს. ზოგად დაზიანებათა სტრუქტურაში საგზაო-სატრანსპორტო ტრავმატიზმს ერთ-ერთი წამყვანი ადგილი უკავია.  ვაშინგტონის ჯანმრთელობის შემაფასებელი ინსტიტუტის (HIME) 2017 წლის მონაცემებით, საქართველოში სიკვდილიანობის ზოგად სტრუქტურაში ტრავმის წილი 4%- შეადგენს. ხოლო ტრავმის მიეზების წილობრივ გადანაწილებაში ვარდნასა და მასთან ასოცირებულ სიკვდილიანობაზე 12% მოდის. როგორც ავღნიშნეთ, ძვლების მოტეხილობა ძირითადად ოსტეოპოროზის შედეგია და ვარდნას - დაცემას უკავშირდება.  დადასტურებულია, რომ მოტეხილობების შემთხვევების 70% ოსტეოპოროზული ეტიოლოგიის არის. განსაკუთრბით მძიმე შედეგებით </w:t>
      </w:r>
      <w:r w:rsidR="009A6B55" w:rsidRPr="007D3D2C">
        <w:rPr>
          <w:rFonts w:ascii="Sylfaen" w:eastAsia="Calibri" w:hAnsi="Sylfaen" w:cs="Times New Roman"/>
          <w:lang w:val="ka-GE" w:eastAsia="zh-CN"/>
        </w:rPr>
        <w:t>გამოირჩევა,</w:t>
      </w:r>
      <w:r w:rsidR="009A6B55">
        <w:rPr>
          <w:rFonts w:ascii="Sylfaen" w:eastAsia="Calibri" w:hAnsi="Sylfaen" w:cs="Times New Roman"/>
          <w:lang w:val="ka-GE" w:eastAsia="zh-CN"/>
        </w:rPr>
        <w:t xml:space="preserve"> </w:t>
      </w:r>
      <w:r w:rsidRPr="007D3D2C">
        <w:rPr>
          <w:rFonts w:ascii="Sylfaen" w:eastAsia="Calibri" w:hAnsi="Sylfaen" w:cs="Times New Roman"/>
          <w:lang w:val="ka-GE" w:eastAsia="zh-CN"/>
        </w:rPr>
        <w:t>ბარძაყის ძვლის მოტეხილობა  რომლის სიკვდილიანობის მაჩვენებელი 30%-ს აღწევს.</w:t>
      </w:r>
    </w:p>
    <w:p w:rsidR="00680A7C" w:rsidRPr="007D3D2C" w:rsidRDefault="00812D58" w:rsidP="0065098A">
      <w:pPr>
        <w:spacing w:before="240" w:line="240" w:lineRule="auto"/>
        <w:jc w:val="both"/>
        <w:rPr>
          <w:rFonts w:ascii="Sylfaen" w:eastAsia="Calibri" w:hAnsi="Sylfaen" w:cs="Times New Roman"/>
          <w:lang w:val="ka-GE" w:eastAsia="zh-CN"/>
        </w:rPr>
      </w:pPr>
      <w:r w:rsidRPr="007D3D2C">
        <w:rPr>
          <w:rFonts w:ascii="Sylfaen" w:eastAsia="Calibri" w:hAnsi="Sylfaen" w:cs="Times New Roman"/>
          <w:lang w:val="ka-GE" w:eastAsia="zh-CN"/>
        </w:rPr>
        <w:t>საქართველოში ოსტეოპოროზის გავრცელების შესწავლა მხოლოდ უკანასკნელი წლების  განმავლობაში იყო შესაძლებელი. მონაცემები შედარებით მწირია, მაგრამ შთამბეჭდავი. დენსიტომეტრიული კვლევების შედეგები ადასტურებს, რომ 40 წელს გადაცილებული ყოველი მე-3 ქალი და 50 წელს გადაცილებული ყოველი მე-5 მამაკაცი დაავადებულია ოსტეოპოროზით. ასაკთან ერთად არა მარტო ძვლოვანი მასა მცირდება, არამედ მატულობს მოტეხილობების რისკი, რ</w:t>
      </w:r>
      <w:r w:rsidR="009A6B55">
        <w:rPr>
          <w:rFonts w:ascii="Sylfaen" w:eastAsia="Calibri" w:hAnsi="Sylfaen" w:cs="Times New Roman"/>
          <w:lang w:val="ka-GE" w:eastAsia="zh-CN"/>
        </w:rPr>
        <w:t>ის</w:t>
      </w:r>
      <w:r w:rsidRPr="007D3D2C">
        <w:rPr>
          <w:rFonts w:ascii="Sylfaen" w:eastAsia="Calibri" w:hAnsi="Sylfaen" w:cs="Times New Roman"/>
          <w:lang w:val="ka-GE" w:eastAsia="zh-CN"/>
        </w:rPr>
        <w:t xml:space="preserve"> ეპიდემიოლოგია</w:t>
      </w:r>
      <w:r w:rsidR="009A6B55">
        <w:rPr>
          <w:rFonts w:ascii="Sylfaen" w:eastAsia="Calibri" w:hAnsi="Sylfaen" w:cs="Times New Roman"/>
          <w:lang w:val="ka-GE" w:eastAsia="zh-CN"/>
        </w:rPr>
        <w:t>ც</w:t>
      </w:r>
      <w:r w:rsidRPr="007D3D2C">
        <w:rPr>
          <w:rFonts w:ascii="Sylfaen" w:eastAsia="Calibri" w:hAnsi="Sylfaen" w:cs="Times New Roman"/>
          <w:lang w:val="ka-GE" w:eastAsia="zh-CN"/>
        </w:rPr>
        <w:t xml:space="preserve"> ჩვენს ქვეყანაში არ არის შესწავლილი. აქედან გამომდინარე საინტერესოდ მიგვაჩნია ქართულ პოპულაციაში ქალებში მენოპაუზის დადგომის შემდეგ  ოსტეოპოროზის და მასთან ასოცირებული მოტეხილობების გავრცელებისა და ეპიდემიოლოგიური თავისებურებების შესწავლა. </w:t>
      </w:r>
      <w:bookmarkStart w:id="0" w:name="_Toc462935627"/>
    </w:p>
    <w:p w:rsidR="00812D58" w:rsidRPr="007D3D2C" w:rsidRDefault="007B2506" w:rsidP="0065098A">
      <w:pPr>
        <w:spacing w:before="240" w:line="240" w:lineRule="auto"/>
        <w:jc w:val="both"/>
        <w:rPr>
          <w:rFonts w:ascii="Sylfaen" w:eastAsia="Calibri" w:hAnsi="Sylfaen" w:cs="Times New Roman"/>
          <w:lang w:val="ka-GE" w:eastAsia="zh-CN"/>
        </w:rPr>
      </w:pPr>
      <w:r w:rsidRPr="007D3D2C">
        <w:rPr>
          <w:rFonts w:ascii="Sylfaen" w:eastAsiaTheme="majorEastAsia" w:hAnsi="Sylfaen" w:cs="Sylfaen"/>
          <w:b/>
          <w:bCs/>
          <w:lang w:val="ka-GE"/>
        </w:rPr>
        <w:t>კვლევის</w:t>
      </w:r>
      <w:r w:rsidR="00812D58" w:rsidRPr="007D3D2C">
        <w:rPr>
          <w:rFonts w:ascii="Sylfaen" w:eastAsiaTheme="majorEastAsia" w:hAnsi="Sylfaen" w:cstheme="majorBidi"/>
          <w:b/>
          <w:bCs/>
          <w:lang w:val="ka-GE"/>
        </w:rPr>
        <w:t xml:space="preserve"> </w:t>
      </w:r>
      <w:r w:rsidR="00812D58" w:rsidRPr="007D3D2C">
        <w:rPr>
          <w:rFonts w:ascii="Sylfaen" w:eastAsiaTheme="majorEastAsia" w:hAnsi="Sylfaen" w:cs="Sylfaen"/>
          <w:b/>
          <w:bCs/>
          <w:lang w:val="ka-GE"/>
        </w:rPr>
        <w:t>მიზანი</w:t>
      </w:r>
      <w:r w:rsidR="00812D58" w:rsidRPr="007D3D2C">
        <w:rPr>
          <w:rFonts w:ascii="Sylfaen" w:eastAsiaTheme="majorEastAsia" w:hAnsi="Sylfaen" w:cstheme="majorBidi"/>
          <w:b/>
          <w:bCs/>
          <w:lang w:val="ka-GE"/>
        </w:rPr>
        <w:t>:</w:t>
      </w:r>
      <w:bookmarkEnd w:id="0"/>
    </w:p>
    <w:p w:rsidR="00812D58" w:rsidRPr="007D3D2C" w:rsidRDefault="00812D58" w:rsidP="0065098A">
      <w:pPr>
        <w:spacing w:before="240" w:line="240" w:lineRule="auto"/>
        <w:jc w:val="both"/>
        <w:rPr>
          <w:rFonts w:ascii="Sylfaen" w:hAnsi="Sylfaen"/>
          <w:lang w:val="ka-GE"/>
        </w:rPr>
      </w:pPr>
      <w:r w:rsidRPr="007D3D2C">
        <w:rPr>
          <w:rFonts w:ascii="Sylfaen" w:hAnsi="Sylfaen"/>
          <w:lang w:val="ka-GE"/>
        </w:rPr>
        <w:t xml:space="preserve">საქართველოში ოსტეოპოროზით განპირობებული მოტეხილობებისა და სიკვდილიანობის პრევენციის მიზნით ქალთა პოპულაციაში  მოტეხილობების გავრცელებისა და ეპიდემიოლოგირი თავისებურებების შესწავლა და შესამამისი პრევენციული რეკომენდაციების შემუშავება. </w:t>
      </w:r>
    </w:p>
    <w:p w:rsidR="00812D58" w:rsidRPr="007D3D2C" w:rsidRDefault="00812D58" w:rsidP="0065098A">
      <w:pPr>
        <w:spacing w:before="240" w:line="240" w:lineRule="auto"/>
        <w:jc w:val="both"/>
        <w:rPr>
          <w:rFonts w:ascii="Sylfaen" w:hAnsi="Sylfaen"/>
          <w:b/>
          <w:lang w:val="ka-GE"/>
        </w:rPr>
      </w:pPr>
      <w:r w:rsidRPr="007D3D2C">
        <w:rPr>
          <w:rFonts w:ascii="Sylfaen" w:hAnsi="Sylfaen"/>
          <w:b/>
          <w:lang w:val="ka-GE"/>
        </w:rPr>
        <w:t>ამოცანები:</w:t>
      </w:r>
    </w:p>
    <w:p w:rsidR="00812D58" w:rsidRPr="007D3D2C" w:rsidRDefault="00812D58" w:rsidP="0065098A">
      <w:pPr>
        <w:numPr>
          <w:ilvl w:val="0"/>
          <w:numId w:val="1"/>
        </w:numPr>
        <w:spacing w:before="240" w:after="200" w:line="240" w:lineRule="auto"/>
        <w:contextualSpacing/>
        <w:jc w:val="both"/>
        <w:rPr>
          <w:rFonts w:ascii="Sylfaen" w:hAnsi="Sylfaen"/>
          <w:lang w:val="ka-GE"/>
        </w:rPr>
      </w:pPr>
      <w:r w:rsidRPr="007D3D2C">
        <w:rPr>
          <w:rFonts w:ascii="Sylfaen" w:hAnsi="Sylfaen" w:cs="Sylfaen"/>
          <w:lang w:val="ka-GE"/>
        </w:rPr>
        <w:t>ვარდნის</w:t>
      </w:r>
      <w:r w:rsidRPr="007D3D2C">
        <w:rPr>
          <w:rFonts w:ascii="Sylfaen" w:hAnsi="Sylfaen"/>
          <w:lang w:val="ka-GE"/>
        </w:rPr>
        <w:t xml:space="preserve"> შემთხვევებით განპირობებული  მოტეხილობების გავრცელებისა და ეპიდემიოლოგიური თავისებურებების შეფასება;</w:t>
      </w:r>
    </w:p>
    <w:p w:rsidR="00812D58" w:rsidRPr="007D3D2C" w:rsidRDefault="00812D58" w:rsidP="0065098A">
      <w:pPr>
        <w:numPr>
          <w:ilvl w:val="0"/>
          <w:numId w:val="1"/>
        </w:numPr>
        <w:spacing w:before="240" w:after="200" w:line="240" w:lineRule="auto"/>
        <w:contextualSpacing/>
        <w:jc w:val="both"/>
        <w:rPr>
          <w:rFonts w:ascii="Sylfaen" w:hAnsi="Sylfaen"/>
          <w:lang w:val="ka-GE"/>
        </w:rPr>
      </w:pPr>
      <w:r w:rsidRPr="007D3D2C">
        <w:rPr>
          <w:rFonts w:ascii="Sylfaen" w:hAnsi="Sylfaen"/>
          <w:lang w:val="ka-GE"/>
        </w:rPr>
        <w:t>ოსტეოპოროზის გავრცელების სიხშირის შესწავლა;</w:t>
      </w:r>
    </w:p>
    <w:p w:rsidR="00812D58" w:rsidRPr="007D3D2C" w:rsidRDefault="00812D58" w:rsidP="0065098A">
      <w:pPr>
        <w:numPr>
          <w:ilvl w:val="0"/>
          <w:numId w:val="1"/>
        </w:numPr>
        <w:spacing w:before="240" w:after="200" w:line="240" w:lineRule="auto"/>
        <w:contextualSpacing/>
        <w:rPr>
          <w:rFonts w:ascii="Sylfaen" w:hAnsi="Sylfaen"/>
          <w:lang w:val="ka-GE"/>
        </w:rPr>
      </w:pPr>
      <w:r w:rsidRPr="007D3D2C">
        <w:rPr>
          <w:rFonts w:ascii="Sylfaen" w:hAnsi="Sylfaen"/>
          <w:lang w:val="ka-GE"/>
        </w:rPr>
        <w:t>ქალებში ოსტეოპოროზისა და მასთან დაკავშირებული მოტეხილობების პრევენციის მიზნით რეკომენდაციების შემუშავება.</w:t>
      </w:r>
    </w:p>
    <w:p w:rsidR="00812D58" w:rsidRPr="007D3D2C" w:rsidRDefault="00812D58" w:rsidP="0065098A">
      <w:pPr>
        <w:spacing w:before="240" w:line="240" w:lineRule="auto"/>
        <w:rPr>
          <w:rFonts w:ascii="Sylfaen" w:hAnsi="Sylfaen"/>
          <w:b/>
          <w:lang w:val="ka-GE"/>
        </w:rPr>
      </w:pPr>
      <w:r w:rsidRPr="007D3D2C">
        <w:rPr>
          <w:rFonts w:ascii="Sylfaen" w:hAnsi="Sylfaen" w:cs="Sylfaen"/>
          <w:b/>
          <w:lang w:val="ka-GE"/>
        </w:rPr>
        <w:lastRenderedPageBreak/>
        <w:t>მეთოდოლოგია</w:t>
      </w:r>
      <w:r w:rsidRPr="007D3D2C">
        <w:rPr>
          <w:rFonts w:ascii="Sylfaen" w:hAnsi="Sylfaen"/>
          <w:b/>
          <w:lang w:val="ka-GE"/>
        </w:rPr>
        <w:t>:</w:t>
      </w:r>
    </w:p>
    <w:p w:rsidR="00812D58" w:rsidRPr="007D3D2C" w:rsidRDefault="00812D58" w:rsidP="0065098A">
      <w:pPr>
        <w:spacing w:before="240" w:line="240" w:lineRule="auto"/>
        <w:jc w:val="both"/>
        <w:rPr>
          <w:rFonts w:ascii="Sylfaen" w:hAnsi="Sylfaen"/>
          <w:b/>
          <w:lang w:val="ka-GE"/>
        </w:rPr>
      </w:pPr>
      <w:r w:rsidRPr="007D3D2C">
        <w:rPr>
          <w:rFonts w:ascii="Sylfaen" w:hAnsi="Sylfaen"/>
          <w:lang w:val="ka-GE"/>
        </w:rPr>
        <w:t>მოძიებულ და შესწავლილ იქნა დაავადებათა კონტროლისა და საზოგადოებრივი ჯანმრთელობის ეროვნულ ცენტრში 2018 წლის განმავლობაში ვარდნის და მოტეხილობების შემთხვევების შედეგად ჰოსპიტალიზირებულ პაცინტთა საანგარიშგებო ფორმის ელექტრონული ვერსია.</w:t>
      </w:r>
      <w:r w:rsidRPr="007D3D2C">
        <w:rPr>
          <w:rFonts w:ascii="Sylfaen" w:hAnsi="Sylfaen"/>
        </w:rPr>
        <w:t xml:space="preserve"> </w:t>
      </w:r>
      <w:r w:rsidRPr="007D3D2C">
        <w:rPr>
          <w:rFonts w:ascii="Sylfaen" w:hAnsi="Sylfaen"/>
          <w:lang w:val="ka-GE"/>
        </w:rPr>
        <w:t xml:space="preserve">მონაცემთა ბაზის სტატისტიკური დამუშავება და აღწერილობით ანალიზი </w:t>
      </w:r>
      <w:proofErr w:type="spellStart"/>
      <w:r w:rsidRPr="007D3D2C">
        <w:rPr>
          <w:rFonts w:ascii="Sylfaen" w:hAnsi="Sylfaen"/>
        </w:rPr>
        <w:t>Epi</w:t>
      </w:r>
      <w:proofErr w:type="spellEnd"/>
      <w:r w:rsidRPr="007D3D2C">
        <w:rPr>
          <w:rFonts w:ascii="Sylfaen" w:hAnsi="Sylfaen"/>
        </w:rPr>
        <w:t>-info 7</w:t>
      </w:r>
      <w:r w:rsidRPr="007D3D2C">
        <w:rPr>
          <w:rFonts w:ascii="Sylfaen" w:eastAsia="Times New Roman" w:hAnsi="Sylfaen" w:cstheme="minorHAnsi"/>
          <w:color w:val="1F1F1F"/>
          <w:lang w:val="ka-GE"/>
        </w:rPr>
        <w:t>-ს სტატისტიკური პაკეტის მე-7 ვერსიის გამოყენებით შესრულდა.</w:t>
      </w:r>
      <w:r w:rsidRPr="007D3D2C">
        <w:rPr>
          <w:rFonts w:ascii="Sylfaen" w:hAnsi="Sylfaen"/>
          <w:b/>
        </w:rPr>
        <w:t xml:space="preserve"> </w:t>
      </w:r>
      <w:r w:rsidRPr="007D3D2C">
        <w:rPr>
          <w:rFonts w:ascii="Sylfaen" w:hAnsi="Sylfaen"/>
          <w:lang w:val="ka-GE"/>
        </w:rPr>
        <w:t>ყურადრება გამახვილდა ბარძაყის, წვივის და თეძოს ძვლების მოტეხილობებზე.</w:t>
      </w:r>
    </w:p>
    <w:p w:rsidR="001B0063" w:rsidRDefault="001B0063" w:rsidP="0065098A">
      <w:pPr>
        <w:spacing w:before="240" w:line="240" w:lineRule="auto"/>
        <w:jc w:val="both"/>
        <w:rPr>
          <w:rFonts w:ascii="Sylfaen" w:eastAsia="Calibri" w:hAnsi="Sylfaen" w:cs="Times New Roman"/>
          <w:b/>
          <w:lang w:val="ka-GE" w:eastAsia="zh-CN"/>
        </w:rPr>
      </w:pPr>
    </w:p>
    <w:p w:rsidR="00EB61EF" w:rsidRPr="007D3D2C" w:rsidRDefault="00EB61EF" w:rsidP="0065098A">
      <w:pPr>
        <w:spacing w:before="240" w:line="240" w:lineRule="auto"/>
        <w:jc w:val="both"/>
        <w:rPr>
          <w:rFonts w:ascii="Sylfaen" w:eastAsia="Calibri" w:hAnsi="Sylfaen" w:cs="Times New Roman"/>
          <w:b/>
          <w:lang w:val="ka-GE" w:eastAsia="zh-CN"/>
        </w:rPr>
      </w:pPr>
      <w:r w:rsidRPr="007D3D2C">
        <w:rPr>
          <w:rFonts w:ascii="Sylfaen" w:eastAsia="Calibri" w:hAnsi="Sylfaen" w:cs="Times New Roman"/>
          <w:b/>
          <w:lang w:val="ka-GE" w:eastAsia="zh-CN"/>
        </w:rPr>
        <w:t>კვლევის შედეგები</w:t>
      </w:r>
    </w:p>
    <w:p w:rsidR="00EB61EF" w:rsidRPr="007D3D2C" w:rsidRDefault="00EB61EF" w:rsidP="0065098A">
      <w:pPr>
        <w:spacing w:line="240" w:lineRule="auto"/>
        <w:jc w:val="both"/>
        <w:rPr>
          <w:rFonts w:ascii="Sylfaen" w:eastAsia="Calibri" w:hAnsi="Sylfaen" w:cs="Times New Roman"/>
          <w:lang w:val="ka-GE" w:eastAsia="zh-CN"/>
        </w:rPr>
      </w:pPr>
      <w:r w:rsidRPr="007D3D2C">
        <w:rPr>
          <w:rFonts w:ascii="Sylfaen" w:eastAsia="Calibri" w:hAnsi="Sylfaen" w:cs="Times New Roman"/>
          <w:lang w:val="ka-GE" w:eastAsia="zh-CN"/>
        </w:rPr>
        <w:t>2018 წელს დკსჯეც–ში წარდგენილი ანგარიშგების მიხედვით საქართველოს ჰოსპიტალური სერვისების მიმწოდებელ დაწესებულებებში “ტრავმების, მოწამვლების და გარეგანი მიზეზების ზემოქმედების ზოგიერთი სხვა შედეგების” მიზეზით 34609 პაციენტი იყო ჰოსპიტალიზებული. მათ შორის უბედური შემთხვევების შედეგად დაზარალებული 28953 (84%) პაციენტი, გაურკვეველი განზრახვით დაზიანებისა და თავდასხმის შედეგად 3893 (11%) პაციენტი, თვითდაზიანებით 277 (1%) პაციენტი, საბრძოლო მოქმედებების შედეგად დაშავებული  9 პაციენტი და სხვა გარეგანი მიზეზის ზემოქმედების შედეგით</w:t>
      </w:r>
      <w:r w:rsidR="0002323E" w:rsidRPr="007D3D2C">
        <w:rPr>
          <w:rFonts w:ascii="Sylfaen" w:eastAsia="Calibri" w:hAnsi="Sylfaen" w:cs="Times New Roman"/>
          <w:lang w:val="ka-GE" w:eastAsia="zh-CN"/>
        </w:rPr>
        <w:t xml:space="preserve">  629 (4%). </w:t>
      </w:r>
    </w:p>
    <w:p w:rsidR="0001177C" w:rsidRPr="0001177C" w:rsidRDefault="00EB61EF" w:rsidP="0065098A">
      <w:pPr>
        <w:spacing w:line="240" w:lineRule="auto"/>
        <w:jc w:val="both"/>
        <w:rPr>
          <w:rFonts w:ascii="Sylfaen" w:eastAsia="Calibri" w:hAnsi="Sylfaen" w:cs="Times New Roman"/>
          <w:lang w:val="ka-GE" w:eastAsia="zh-CN"/>
        </w:rPr>
      </w:pPr>
      <w:r w:rsidRPr="007D3D2C">
        <w:rPr>
          <w:rFonts w:ascii="Sylfaen" w:eastAsia="Calibri" w:hAnsi="Sylfaen" w:cs="Times New Roman"/>
          <w:lang w:val="ka-GE" w:eastAsia="zh-CN"/>
        </w:rPr>
        <w:t>სურათი</w:t>
      </w:r>
      <w:r w:rsidR="0002323E" w:rsidRPr="007D3D2C">
        <w:rPr>
          <w:rFonts w:ascii="Sylfaen" w:eastAsia="Calibri" w:hAnsi="Sylfaen" w:cs="Times New Roman"/>
          <w:lang w:val="ka-GE" w:eastAsia="zh-CN"/>
        </w:rPr>
        <w:t xml:space="preserve"> 1</w:t>
      </w:r>
      <w:r w:rsidRPr="007D3D2C">
        <w:rPr>
          <w:rFonts w:ascii="Sylfaen" w:eastAsia="Calibri" w:hAnsi="Sylfaen" w:cs="Times New Roman"/>
          <w:lang w:val="ka-GE" w:eastAsia="zh-CN"/>
        </w:rPr>
        <w:t xml:space="preserve">.  გარეგანი მიზეზების შედეგად ჰოსპიტალიზებულ   პაციენტთა თანაფარდობა                                                                                                                                                  </w:t>
      </w:r>
    </w:p>
    <w:p w:rsidR="00684582" w:rsidRPr="003C3C1A" w:rsidRDefault="0002323E" w:rsidP="00684582">
      <w:pPr>
        <w:jc w:val="both"/>
        <w:rPr>
          <w:rFonts w:ascii="Sylfaen" w:hAnsi="Sylfaen"/>
          <w:b/>
          <w:sz w:val="28"/>
          <w:szCs w:val="28"/>
          <w:lang w:val="ka-GE"/>
        </w:rPr>
      </w:pPr>
      <w:r w:rsidRPr="00472227">
        <w:rPr>
          <w:rFonts w:ascii="Sylfaen" w:eastAsia="Times New Roman" w:hAnsi="Sylfaen" w:cs="Sylfaen"/>
          <w:bCs/>
          <w:smallCaps/>
          <w:noProof/>
          <w:color w:val="000000" w:themeColor="text1"/>
        </w:rPr>
        <w:drawing>
          <wp:inline distT="0" distB="0" distL="0" distR="0" wp14:anchorId="3763E14F" wp14:editId="0DC75890">
            <wp:extent cx="5486400" cy="1971675"/>
            <wp:effectExtent l="0" t="0" r="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7BEB" w:rsidRDefault="009A7BEB" w:rsidP="0002323E">
      <w:pPr>
        <w:jc w:val="both"/>
        <w:rPr>
          <w:rFonts w:ascii="Sylfaen" w:eastAsia="Times New Roman" w:hAnsi="Sylfaen" w:cs="Sylfaen"/>
          <w:bCs/>
          <w:smallCaps/>
          <w:noProof/>
          <w:color w:val="000000" w:themeColor="text1"/>
          <w:lang w:val="ka-GE" w:eastAsia="zh-CN"/>
        </w:rPr>
      </w:pPr>
    </w:p>
    <w:p w:rsidR="0002323E" w:rsidRDefault="0002323E" w:rsidP="0002323E">
      <w:pPr>
        <w:jc w:val="both"/>
        <w:rPr>
          <w:rFonts w:ascii="Sylfaen" w:hAnsi="Sylfaen"/>
          <w:lang w:val="ka-GE"/>
        </w:rPr>
      </w:pPr>
      <w:r>
        <w:rPr>
          <w:rFonts w:ascii="Sylfaen" w:eastAsia="Times New Roman" w:hAnsi="Sylfaen" w:cs="Sylfaen"/>
          <w:bCs/>
          <w:smallCaps/>
          <w:noProof/>
          <w:color w:val="000000" w:themeColor="text1"/>
          <w:lang w:val="ka-GE" w:eastAsia="zh-CN"/>
        </w:rPr>
        <w:t>2018</w:t>
      </w:r>
      <w:r w:rsidRPr="00472227">
        <w:rPr>
          <w:rFonts w:ascii="Sylfaen" w:eastAsia="Times New Roman" w:hAnsi="Sylfaen" w:cs="Sylfaen"/>
          <w:bCs/>
          <w:smallCaps/>
          <w:noProof/>
          <w:color w:val="000000" w:themeColor="text1"/>
          <w:lang w:val="ka-GE" w:eastAsia="zh-CN"/>
        </w:rPr>
        <w:t xml:space="preserve"> წელს უბედური შემთხვევების გამო ჰოსპიტალიზებული პაციენტების დაზიანებების მიზეზების</w:t>
      </w:r>
      <w:r w:rsidRPr="00472227">
        <w:rPr>
          <w:rFonts w:ascii="Sylfaen" w:eastAsia="Times New Roman" w:hAnsi="Sylfaen" w:cs="Sylfaen"/>
          <w:bCs/>
          <w:smallCaps/>
          <w:noProof/>
          <w:color w:val="000000" w:themeColor="text1"/>
          <w:lang w:val="ka-GE"/>
        </w:rPr>
        <w:t xml:space="preserve"> სტ</w:t>
      </w:r>
      <w:r w:rsidRPr="00472227">
        <w:rPr>
          <w:rFonts w:ascii="Sylfaen" w:eastAsia="Times New Roman" w:hAnsi="Sylfaen" w:cs="Sylfaen"/>
          <w:bCs/>
          <w:smallCaps/>
          <w:noProof/>
          <w:color w:val="000000" w:themeColor="text1"/>
          <w:lang w:val="ka-GE" w:eastAsia="zh-CN"/>
        </w:rPr>
        <w:t xml:space="preserve">რუქტურულმა ანალიზმა ცხადყო, რომ ინსიდენსის </w:t>
      </w:r>
      <w:r>
        <w:rPr>
          <w:rFonts w:ascii="Sylfaen" w:eastAsia="Times New Roman" w:hAnsi="Sylfaen" w:cs="Sylfaen"/>
          <w:bCs/>
          <w:smallCaps/>
          <w:noProof/>
          <w:lang w:val="ka-GE" w:eastAsia="zh-CN"/>
        </w:rPr>
        <w:t>56% (16291</w:t>
      </w:r>
      <w:r w:rsidRPr="00472227">
        <w:rPr>
          <w:rFonts w:ascii="Sylfaen" w:eastAsia="Times New Roman" w:hAnsi="Sylfaen" w:cs="Sylfaen"/>
          <w:bCs/>
          <w:smallCaps/>
          <w:noProof/>
          <w:lang w:val="ka-GE" w:eastAsia="zh-CN"/>
        </w:rPr>
        <w:t xml:space="preserve">) ვარდნით, </w:t>
      </w:r>
      <w:r>
        <w:rPr>
          <w:rFonts w:ascii="Sylfaen" w:eastAsia="Times New Roman" w:hAnsi="Sylfaen" w:cs="Sylfaen"/>
          <w:bCs/>
          <w:smallCaps/>
          <w:noProof/>
          <w:color w:val="000000" w:themeColor="text1"/>
          <w:lang w:val="ka-GE" w:eastAsia="zh-CN"/>
        </w:rPr>
        <w:t>11% (3 216</w:t>
      </w:r>
      <w:r w:rsidRPr="00472227">
        <w:rPr>
          <w:rFonts w:ascii="Sylfaen" w:eastAsia="Times New Roman" w:hAnsi="Sylfaen" w:cs="Sylfaen"/>
          <w:bCs/>
          <w:smallCaps/>
          <w:noProof/>
          <w:color w:val="000000" w:themeColor="text1"/>
          <w:lang w:val="ka-GE" w:eastAsia="zh-CN"/>
        </w:rPr>
        <w:t xml:space="preserve">) საგზაო–სატრანსპორტო შემთხვევით, </w:t>
      </w:r>
      <w:r>
        <w:rPr>
          <w:rFonts w:ascii="Sylfaen" w:eastAsia="Times New Roman" w:hAnsi="Sylfaen" w:cs="Sylfaen"/>
          <w:bCs/>
          <w:smallCaps/>
          <w:noProof/>
          <w:lang w:val="ka-GE" w:eastAsia="zh-CN"/>
        </w:rPr>
        <w:t xml:space="preserve">11% </w:t>
      </w:r>
      <w:r w:rsidRPr="00472227">
        <w:rPr>
          <w:rFonts w:ascii="Sylfaen" w:eastAsia="Times New Roman" w:hAnsi="Sylfaen" w:cs="Sylfaen"/>
          <w:bCs/>
          <w:smallCaps/>
          <w:noProof/>
          <w:lang w:val="ka-GE" w:eastAsia="zh-CN"/>
        </w:rPr>
        <w:t xml:space="preserve"> ცოცხალი და არაცოცხალი მექანიკურ</w:t>
      </w:r>
      <w:r>
        <w:rPr>
          <w:rFonts w:ascii="Sylfaen" w:eastAsia="Times New Roman" w:hAnsi="Sylfaen" w:cs="Sylfaen"/>
          <w:bCs/>
          <w:smallCaps/>
          <w:noProof/>
          <w:lang w:val="ka-GE" w:eastAsia="zh-CN"/>
        </w:rPr>
        <w:t xml:space="preserve">ი ძალის ზემოქმედებით, 8% </w:t>
      </w:r>
      <w:r w:rsidRPr="00472227">
        <w:rPr>
          <w:rFonts w:ascii="Sylfaen" w:eastAsia="Times New Roman" w:hAnsi="Sylfaen" w:cs="Sylfaen"/>
          <w:bCs/>
          <w:smallCaps/>
          <w:noProof/>
          <w:lang w:val="ka-GE" w:eastAsia="zh-CN"/>
        </w:rPr>
        <w:t>დამწვრობით და ელექტ</w:t>
      </w:r>
      <w:r>
        <w:rPr>
          <w:rFonts w:ascii="Sylfaen" w:eastAsia="Times New Roman" w:hAnsi="Sylfaen" w:cs="Sylfaen"/>
          <w:bCs/>
          <w:smallCaps/>
          <w:noProof/>
          <w:lang w:val="ka-GE" w:eastAsia="zh-CN"/>
        </w:rPr>
        <w:t xml:space="preserve">რული დენის ზემოქმედებით, 6% </w:t>
      </w:r>
      <w:r w:rsidRPr="00472227">
        <w:rPr>
          <w:rFonts w:ascii="Sylfaen" w:eastAsia="Times New Roman" w:hAnsi="Sylfaen" w:cs="Sylfaen"/>
          <w:bCs/>
          <w:smallCaps/>
          <w:noProof/>
          <w:lang w:val="ka-GE" w:eastAsia="zh-CN"/>
        </w:rPr>
        <w:t>შემთხვევითი მოწამვ</w:t>
      </w:r>
      <w:r>
        <w:rPr>
          <w:rFonts w:ascii="Sylfaen" w:eastAsia="Times New Roman" w:hAnsi="Sylfaen" w:cs="Sylfaen"/>
          <w:bCs/>
          <w:smallCaps/>
          <w:noProof/>
          <w:lang w:val="ka-GE" w:eastAsia="zh-CN"/>
        </w:rPr>
        <w:t xml:space="preserve">ლით, 2% </w:t>
      </w:r>
      <w:r w:rsidRPr="00472227">
        <w:rPr>
          <w:rFonts w:ascii="Sylfaen" w:eastAsia="Times New Roman" w:hAnsi="Sylfaen" w:cs="Sylfaen"/>
          <w:bCs/>
          <w:smallCaps/>
          <w:noProof/>
          <w:lang w:val="ka-GE" w:eastAsia="zh-CN"/>
        </w:rPr>
        <w:t xml:space="preserve"> და</w:t>
      </w:r>
      <w:r>
        <w:rPr>
          <w:rFonts w:ascii="Sylfaen" w:eastAsia="Times New Roman" w:hAnsi="Sylfaen" w:cs="Sylfaen"/>
          <w:bCs/>
          <w:smallCaps/>
          <w:noProof/>
          <w:lang w:val="ka-GE" w:eastAsia="zh-CN"/>
        </w:rPr>
        <w:t xml:space="preserve">ხრჩობა/სუნთქვის შეწყვეტით და 4%  </w:t>
      </w:r>
      <w:r w:rsidRPr="00472227">
        <w:rPr>
          <w:rFonts w:ascii="Sylfaen" w:eastAsia="Times New Roman" w:hAnsi="Sylfaen" w:cs="Sylfaen"/>
          <w:bCs/>
          <w:smallCaps/>
          <w:noProof/>
          <w:lang w:val="ka-GE" w:eastAsia="zh-CN"/>
        </w:rPr>
        <w:t>სხვა გარეგანი მიზე</w:t>
      </w:r>
      <w:r>
        <w:rPr>
          <w:rFonts w:ascii="Sylfaen" w:eastAsia="Times New Roman" w:hAnsi="Sylfaen" w:cs="Sylfaen"/>
          <w:bCs/>
          <w:smallCaps/>
          <w:noProof/>
          <w:lang w:val="ka-GE" w:eastAsia="zh-CN"/>
        </w:rPr>
        <w:t>ზით არის განპირობებული</w:t>
      </w:r>
      <w:r w:rsidRPr="00472227">
        <w:rPr>
          <w:rFonts w:ascii="Sylfaen" w:eastAsia="Times New Roman" w:hAnsi="Sylfaen" w:cs="Sylfaen"/>
          <w:bCs/>
          <w:smallCaps/>
          <w:noProof/>
          <w:lang w:val="ka-GE" w:eastAsia="zh-CN"/>
        </w:rPr>
        <w:t>.</w:t>
      </w:r>
    </w:p>
    <w:p w:rsidR="003F065F" w:rsidRPr="00CE0032" w:rsidRDefault="0002323E" w:rsidP="00CE0032">
      <w:pPr>
        <w:jc w:val="both"/>
        <w:rPr>
          <w:rFonts w:ascii="Sylfaen" w:eastAsia="Times New Roman" w:hAnsi="Sylfaen" w:cs="Times New Roman"/>
          <w:iCs/>
          <w:lang w:val="ka-GE" w:eastAsia="ru-RU"/>
        </w:rPr>
      </w:pPr>
      <w:r>
        <w:rPr>
          <w:rFonts w:ascii="Sylfaen" w:eastAsia="Times New Roman" w:hAnsi="Sylfaen" w:cs="Sylfaen"/>
          <w:bCs/>
          <w:smallCaps/>
          <w:noProof/>
          <w:lang w:val="ka-GE" w:eastAsia="zh-CN"/>
        </w:rPr>
        <w:lastRenderedPageBreak/>
        <w:t>სურათი 2</w:t>
      </w:r>
      <w:r w:rsidRPr="00472227">
        <w:rPr>
          <w:rFonts w:ascii="Sylfaen" w:eastAsia="Times New Roman" w:hAnsi="Sylfaen" w:cs="Sylfaen"/>
          <w:bCs/>
          <w:smallCaps/>
          <w:noProof/>
          <w:lang w:val="ka-GE" w:eastAsia="zh-CN"/>
        </w:rPr>
        <w:t xml:space="preserve">. </w:t>
      </w:r>
      <w:r w:rsidRPr="00472227">
        <w:rPr>
          <w:rFonts w:ascii="Sylfaen" w:eastAsia="Times New Roman" w:hAnsi="Sylfaen" w:cs="Times New Roman"/>
          <w:iCs/>
          <w:lang w:val="ka-GE" w:eastAsia="ru-RU"/>
        </w:rPr>
        <w:t xml:space="preserve">უბედური შემთხვევის შედეგად ჰოსპიტალიზებულ პაციენტთა ხვედრითი წილი </w:t>
      </w:r>
      <w:r>
        <w:rPr>
          <w:rFonts w:ascii="Sylfaen" w:eastAsia="Times New Roman" w:hAnsi="Sylfaen" w:cs="Times New Roman"/>
          <w:iCs/>
          <w:lang w:val="ka-GE" w:eastAsia="ru-RU"/>
        </w:rPr>
        <w:t>გამომწვევი მიზეზების მიხედვით</w:t>
      </w:r>
      <w:r w:rsidRPr="00472227">
        <w:rPr>
          <w:rFonts w:ascii="Sylfaen" w:eastAsia="Times New Roman" w:hAnsi="Sylfaen" w:cs="Times New Roman"/>
          <w:iCs/>
          <w:lang w:val="ka-GE" w:eastAsia="ru-RU"/>
        </w:rPr>
        <w:t xml:space="preserve">    </w:t>
      </w:r>
      <w:r w:rsidRPr="00472227">
        <w:rPr>
          <w:rFonts w:ascii="Sylfaen" w:eastAsia="Times New Roman" w:hAnsi="Sylfaen" w:cs="Sylfaen"/>
          <w:bCs/>
          <w:smallCaps/>
          <w:noProof/>
          <w:color w:val="000000" w:themeColor="text1"/>
        </w:rPr>
        <w:drawing>
          <wp:inline distT="0" distB="0" distL="0" distR="0" wp14:anchorId="3CB9CFEC" wp14:editId="3F6A6601">
            <wp:extent cx="6000750" cy="150495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323E" w:rsidRDefault="0002323E" w:rsidP="0002323E">
      <w:pPr>
        <w:jc w:val="both"/>
        <w:rPr>
          <w:rFonts w:ascii="Sylfaen" w:eastAsia="Times New Roman" w:hAnsi="Sylfaen" w:cs="Times New Roman"/>
          <w:iCs/>
          <w:lang w:val="ka-GE" w:eastAsia="ru-RU"/>
        </w:rPr>
      </w:pPr>
      <w:r w:rsidRPr="00472227">
        <w:rPr>
          <w:rFonts w:ascii="Sylfaen" w:eastAsia="Times New Roman" w:hAnsi="Sylfaen" w:cs="Sylfaen"/>
          <w:bCs/>
          <w:smallCaps/>
          <w:noProof/>
          <w:color w:val="000000" w:themeColor="text1"/>
          <w:lang w:val="ka-GE" w:eastAsia="zh-CN"/>
        </w:rPr>
        <w:t>გარეგანი მიზეზების შედეგად დაშავებულ</w:t>
      </w:r>
      <w:r w:rsidRPr="00472227">
        <w:rPr>
          <w:rFonts w:ascii="Sylfaen" w:eastAsia="Times New Roman" w:hAnsi="Sylfaen" w:cs="Sylfaen"/>
          <w:bCs/>
          <w:smallCaps/>
          <w:noProof/>
          <w:color w:val="000000" w:themeColor="text1"/>
          <w:lang w:eastAsia="zh-CN"/>
        </w:rPr>
        <w:t xml:space="preserve"> </w:t>
      </w:r>
      <w:r w:rsidRPr="00472227">
        <w:rPr>
          <w:rFonts w:ascii="Sylfaen" w:eastAsia="Times New Roman" w:hAnsi="Sylfaen" w:cs="Sylfaen"/>
          <w:bCs/>
          <w:smallCaps/>
          <w:noProof/>
          <w:color w:val="000000" w:themeColor="text1"/>
          <w:lang w:val="ka-GE" w:eastAsia="zh-CN"/>
        </w:rPr>
        <w:t xml:space="preserve">და ჰოსპიტალიზირებულ </w:t>
      </w:r>
      <w:r w:rsidRPr="00472227">
        <w:rPr>
          <w:rFonts w:ascii="Sylfaen" w:eastAsia="Times New Roman" w:hAnsi="Sylfaen" w:cs="Times New Roman"/>
          <w:iCs/>
          <w:lang w:val="ka-GE" w:eastAsia="ru-RU"/>
        </w:rPr>
        <w:t xml:space="preserve">პაციენტთა შორის ყველა ასაკობრივ ჯგუფში ლიდერობს ვარდნა, შემდეგ მოყვება საგზაო-სატრანსპორტო შემთხვევები. </w:t>
      </w:r>
    </w:p>
    <w:p w:rsidR="0002323E" w:rsidRDefault="0002323E" w:rsidP="00DB49B1">
      <w:pPr>
        <w:spacing w:before="240" w:line="240" w:lineRule="auto"/>
        <w:jc w:val="both"/>
        <w:rPr>
          <w:rFonts w:ascii="Sylfaen" w:eastAsia="Times New Roman" w:hAnsi="Sylfaen" w:cs="Sylfaen"/>
          <w:bCs/>
          <w:smallCaps/>
          <w:noProof/>
          <w:lang w:eastAsia="zh-CN"/>
        </w:rPr>
      </w:pPr>
      <w:r w:rsidRPr="00472227">
        <w:rPr>
          <w:rFonts w:ascii="Sylfaen" w:eastAsia="Times New Roman" w:hAnsi="Sylfaen" w:cs="Sylfaen"/>
          <w:bCs/>
          <w:smallCaps/>
          <w:noProof/>
          <w:lang w:val="ka-GE" w:eastAsia="zh-CN"/>
        </w:rPr>
        <w:t>ვარდნის შედეგად მიღებული დაზიანებების მიზეზით ჰოსპიტალიზებული პაციენტთა ასაკობრივი და გენდერული გადანაწილებით გამოვლინდა, რომ 65 წლამდე მამაკაცები ლიდერობენ, 26-45 ასაკობრივ  ჯგუფში კი - მათი დაშავების მაჩვენებე</w:t>
      </w:r>
      <w:r>
        <w:rPr>
          <w:rFonts w:ascii="Sylfaen" w:eastAsia="Times New Roman" w:hAnsi="Sylfaen" w:cs="Sylfaen"/>
          <w:bCs/>
          <w:smallCaps/>
          <w:noProof/>
          <w:lang w:val="ka-GE" w:eastAsia="zh-CN"/>
        </w:rPr>
        <w:t>ლი პიკს აღწევს</w:t>
      </w:r>
      <w:r w:rsidRPr="00472227">
        <w:rPr>
          <w:rFonts w:ascii="Sylfaen" w:eastAsia="Times New Roman" w:hAnsi="Sylfaen" w:cs="Sylfaen"/>
          <w:bCs/>
          <w:smallCaps/>
          <w:noProof/>
          <w:lang w:val="ka-GE" w:eastAsia="zh-CN"/>
        </w:rPr>
        <w:t xml:space="preserve">. 66-95 ასაკობრივ კატეგორიაში სურათი იცვლება და ქალები  </w:t>
      </w:r>
      <w:r w:rsidR="00675432">
        <w:rPr>
          <w:rFonts w:ascii="Sylfaen" w:eastAsia="Times New Roman" w:hAnsi="Sylfaen" w:cs="Sylfaen"/>
          <w:bCs/>
          <w:smallCaps/>
          <w:noProof/>
          <w:lang w:val="ka-GE" w:eastAsia="zh-CN"/>
        </w:rPr>
        <w:t>მნიშვნელოვნად ჭარბობენ</w:t>
      </w:r>
    </w:p>
    <w:p w:rsidR="0002323E" w:rsidRDefault="0002323E" w:rsidP="00DB49B1">
      <w:pPr>
        <w:tabs>
          <w:tab w:val="left" w:pos="3045"/>
        </w:tabs>
        <w:spacing w:before="240" w:line="240" w:lineRule="auto"/>
        <w:jc w:val="both"/>
        <w:rPr>
          <w:rFonts w:ascii="Sylfaen" w:eastAsia="Times New Roman" w:hAnsi="Sylfaen" w:cs="Times New Roman"/>
          <w:iCs/>
          <w:lang w:val="ka-GE" w:eastAsia="ru-RU"/>
        </w:rPr>
      </w:pPr>
      <w:r>
        <w:rPr>
          <w:rFonts w:ascii="Sylfaen" w:eastAsia="Times New Roman" w:hAnsi="Sylfaen" w:cs="Times New Roman"/>
          <w:iCs/>
          <w:lang w:val="ka-GE" w:eastAsia="ru-RU"/>
        </w:rPr>
        <w:t>სურათი</w:t>
      </w:r>
      <w:r>
        <w:rPr>
          <w:rFonts w:ascii="Sylfaen" w:eastAsia="Times New Roman" w:hAnsi="Sylfaen" w:cs="Times New Roman"/>
          <w:iCs/>
          <w:lang w:eastAsia="ru-RU"/>
        </w:rPr>
        <w:t xml:space="preserve"> 3</w:t>
      </w:r>
      <w:r w:rsidRPr="00472227">
        <w:rPr>
          <w:rFonts w:ascii="Sylfaen" w:eastAsia="Times New Roman" w:hAnsi="Sylfaen" w:cs="Times New Roman"/>
          <w:iCs/>
          <w:lang w:val="ka-GE" w:eastAsia="ru-RU"/>
        </w:rPr>
        <w:t>. ვარდნის  მიზეზით ჰოსპიტალიზებულ პაციენტთა გადანაწილება სქ</w:t>
      </w:r>
      <w:r>
        <w:rPr>
          <w:rFonts w:ascii="Sylfaen" w:eastAsia="Times New Roman" w:hAnsi="Sylfaen" w:cs="Times New Roman"/>
          <w:iCs/>
          <w:lang w:val="ka-GE" w:eastAsia="ru-RU"/>
        </w:rPr>
        <w:t>ესისა და ასაკის მიხედვით</w:t>
      </w:r>
    </w:p>
    <w:p w:rsidR="0002323E" w:rsidRDefault="0002323E">
      <w:r w:rsidRPr="00472227">
        <w:rPr>
          <w:rFonts w:ascii="Sylfaen" w:hAnsi="Sylfaen"/>
          <w:noProof/>
        </w:rPr>
        <w:drawing>
          <wp:inline distT="0" distB="0" distL="0" distR="0" wp14:anchorId="366C126D" wp14:editId="6B0BADF8">
            <wp:extent cx="5953125" cy="1905000"/>
            <wp:effectExtent l="0" t="0" r="9525"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0032" w:rsidRDefault="0002323E" w:rsidP="0002323E">
      <w:pPr>
        <w:jc w:val="both"/>
        <w:rPr>
          <w:rFonts w:ascii="Sylfaen" w:hAnsi="Sylfaen"/>
          <w:lang w:val="ka-GE"/>
        </w:rPr>
      </w:pPr>
      <w:r w:rsidRPr="00472227">
        <w:rPr>
          <w:rFonts w:ascii="Sylfaen" w:hAnsi="Sylfaen"/>
          <w:lang w:val="ka-GE"/>
        </w:rPr>
        <w:t>ვარდნის შედეგად</w:t>
      </w:r>
      <w:r>
        <w:rPr>
          <w:rFonts w:ascii="Sylfaen" w:hAnsi="Sylfaen"/>
          <w:lang w:val="ka-GE"/>
        </w:rPr>
        <w:t xml:space="preserve"> ჰოსპიტალიზებული პაციენტების ასაკობრივი კატეგორიების, დაშავების ხარისხისა  და მოტეხილობების სტრუქტურულმა ანალიზმა ცხადყო, რომ </w:t>
      </w:r>
      <w:r w:rsidRPr="00472227">
        <w:rPr>
          <w:rFonts w:ascii="Sylfaen" w:hAnsi="Sylfaen"/>
          <w:lang w:val="ka-GE"/>
        </w:rPr>
        <w:t xml:space="preserve">65 წელზე მეტი წლოვანების </w:t>
      </w:r>
      <w:r>
        <w:rPr>
          <w:rFonts w:ascii="Sylfaen" w:hAnsi="Sylfaen"/>
          <w:lang w:val="ka-GE"/>
        </w:rPr>
        <w:t>პაციენტებში პრევალირებს</w:t>
      </w:r>
      <w:r w:rsidRPr="00472227">
        <w:rPr>
          <w:rFonts w:ascii="Sylfaen" w:hAnsi="Sylfaen"/>
          <w:lang w:val="ka-GE"/>
        </w:rPr>
        <w:t xml:space="preserve"> ბარძაყის ყელის მოტეხილობა</w:t>
      </w:r>
      <w:r>
        <w:rPr>
          <w:rFonts w:ascii="Sylfaen" w:hAnsi="Sylfaen"/>
          <w:lang w:val="ka-GE"/>
        </w:rPr>
        <w:t>, 65 წლამდე ასაკის კატეგორიაში სხვადასხვა ლოკაციის მოტეხილობები ფიქსირდება.</w:t>
      </w:r>
    </w:p>
    <w:p w:rsidR="0002323E" w:rsidRDefault="0002323E" w:rsidP="0002323E">
      <w:pPr>
        <w:jc w:val="both"/>
        <w:rPr>
          <w:rFonts w:ascii="Sylfaen" w:eastAsia="Times New Roman" w:hAnsi="Sylfaen" w:cs="Times New Roman"/>
          <w:iCs/>
          <w:lang w:val="ka-GE" w:eastAsia="ru-RU"/>
        </w:rPr>
      </w:pPr>
      <w:r>
        <w:rPr>
          <w:rFonts w:ascii="Sylfaen" w:hAnsi="Sylfaen"/>
          <w:lang w:val="ka-GE"/>
        </w:rPr>
        <w:t xml:space="preserve">სურათი 4. </w:t>
      </w:r>
      <w:r w:rsidRPr="00472227">
        <w:rPr>
          <w:rFonts w:ascii="Sylfaen" w:hAnsi="Sylfaen"/>
          <w:lang w:val="ka-GE"/>
        </w:rPr>
        <w:t xml:space="preserve">ვარდნის მიზეზით </w:t>
      </w:r>
      <w:r w:rsidRPr="00472227">
        <w:rPr>
          <w:rFonts w:ascii="Sylfaen" w:eastAsia="Times New Roman" w:hAnsi="Sylfaen" w:cs="Times New Roman"/>
          <w:iCs/>
          <w:lang w:val="ka-GE" w:eastAsia="ru-RU"/>
        </w:rPr>
        <w:t>ჰოსპიტალიზებულ პაციენტთა გადანაწილება დაზიანების სტრ</w:t>
      </w:r>
      <w:r>
        <w:rPr>
          <w:rFonts w:ascii="Sylfaen" w:eastAsia="Times New Roman" w:hAnsi="Sylfaen" w:cs="Times New Roman"/>
          <w:iCs/>
          <w:lang w:val="ka-GE" w:eastAsia="ru-RU"/>
        </w:rPr>
        <w:t>უქტურისა და ასაკის მიხედვით</w:t>
      </w:r>
    </w:p>
    <w:p w:rsidR="0002323E" w:rsidRDefault="0002323E">
      <w:r w:rsidRPr="00472227">
        <w:rPr>
          <w:rFonts w:ascii="Sylfaen" w:hAnsi="Sylfaen"/>
          <w:noProof/>
        </w:rPr>
        <w:lastRenderedPageBreak/>
        <w:drawing>
          <wp:inline distT="0" distB="0" distL="0" distR="0" wp14:anchorId="674A2BED" wp14:editId="2384228E">
            <wp:extent cx="5905500" cy="2143125"/>
            <wp:effectExtent l="0" t="0" r="0"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0063" w:rsidRPr="001B0063" w:rsidRDefault="0002323E" w:rsidP="0002323E">
      <w:pPr>
        <w:jc w:val="both"/>
        <w:rPr>
          <w:rFonts w:ascii="Sylfaen" w:eastAsia="Calibri" w:hAnsi="Sylfaen" w:cs="Times New Roman"/>
          <w:lang w:val="ka-GE" w:eastAsia="zh-CN"/>
        </w:rPr>
      </w:pPr>
      <w:r w:rsidRPr="00472227">
        <w:rPr>
          <w:rFonts w:ascii="Sylfaen" w:hAnsi="Sylfaen"/>
          <w:lang w:val="ka-GE"/>
        </w:rPr>
        <w:t>ვარდნის შედეგად</w:t>
      </w:r>
      <w:r>
        <w:rPr>
          <w:rFonts w:ascii="Sylfaen" w:hAnsi="Sylfaen"/>
          <w:lang w:val="ka-GE"/>
        </w:rPr>
        <w:t xml:space="preserve"> ჰოსპიტალიზებული პაციენტების ასაკის, სქესის და მოტეხილობების სტრუქტურის შესწავლამ გამოავლინა, რომ  65 წელს ზემოთ</w:t>
      </w:r>
      <w:r w:rsidRPr="00472227">
        <w:rPr>
          <w:rFonts w:ascii="Sylfaen" w:hAnsi="Sylfaen"/>
          <w:lang w:val="ka-GE"/>
        </w:rPr>
        <w:t xml:space="preserve"> ასაკობრივ კატეგორიაში </w:t>
      </w:r>
      <w:r>
        <w:rPr>
          <w:rFonts w:ascii="Sylfaen" w:hAnsi="Sylfaen"/>
          <w:lang w:val="ka-GE"/>
        </w:rPr>
        <w:t>ბარძაყის ყელის მოტეხილობ</w:t>
      </w:r>
      <w:r w:rsidR="00675432">
        <w:rPr>
          <w:rFonts w:ascii="Sylfaen" w:hAnsi="Sylfaen"/>
          <w:lang w:val="ka-GE"/>
        </w:rPr>
        <w:t>ა</w:t>
      </w:r>
      <w:r>
        <w:rPr>
          <w:rFonts w:ascii="Sylfaen" w:hAnsi="Sylfaen"/>
          <w:lang w:val="ka-GE"/>
        </w:rPr>
        <w:t xml:space="preserve"> </w:t>
      </w:r>
      <w:r w:rsidR="00675432">
        <w:rPr>
          <w:rFonts w:ascii="Sylfaen" w:hAnsi="Sylfaen"/>
          <w:lang w:val="ka-GE"/>
        </w:rPr>
        <w:t>ქალებში</w:t>
      </w:r>
      <w:r w:rsidR="00CF2934">
        <w:rPr>
          <w:rFonts w:ascii="Sylfaen" w:hAnsi="Sylfaen"/>
          <w:lang w:val="ka-GE"/>
        </w:rPr>
        <w:t xml:space="preserve"> მნიშვნელოვნად ხშირია.</w:t>
      </w:r>
      <w:r w:rsidRPr="00472227">
        <w:rPr>
          <w:rFonts w:ascii="Sylfaen" w:hAnsi="Sylfaen"/>
          <w:lang w:val="ka-GE"/>
        </w:rPr>
        <w:t xml:space="preserve"> </w:t>
      </w:r>
    </w:p>
    <w:p w:rsidR="0002323E" w:rsidRDefault="0002323E" w:rsidP="0002323E">
      <w:pPr>
        <w:jc w:val="both"/>
        <w:rPr>
          <w:rFonts w:ascii="Sylfaen" w:eastAsia="Times New Roman" w:hAnsi="Sylfaen" w:cs="Times New Roman"/>
          <w:iCs/>
          <w:lang w:val="ka-GE" w:eastAsia="ru-RU"/>
        </w:rPr>
      </w:pPr>
      <w:r>
        <w:rPr>
          <w:rFonts w:ascii="Sylfaen" w:hAnsi="Sylfaen"/>
          <w:lang w:val="ka-GE"/>
        </w:rPr>
        <w:t xml:space="preserve">სურათი 5. </w:t>
      </w:r>
      <w:r w:rsidRPr="00472227">
        <w:rPr>
          <w:rFonts w:ascii="Sylfaen" w:hAnsi="Sylfaen"/>
          <w:lang w:val="ka-GE"/>
        </w:rPr>
        <w:t xml:space="preserve">ვარდნის მიზეზით </w:t>
      </w:r>
      <w:r w:rsidRPr="00472227">
        <w:rPr>
          <w:rFonts w:ascii="Sylfaen" w:eastAsia="Times New Roman" w:hAnsi="Sylfaen" w:cs="Times New Roman"/>
          <w:iCs/>
          <w:lang w:val="ka-GE" w:eastAsia="ru-RU"/>
        </w:rPr>
        <w:t>ჰოსპიტალიზებულ</w:t>
      </w:r>
      <w:r>
        <w:rPr>
          <w:rFonts w:ascii="Sylfaen" w:eastAsia="Times New Roman" w:hAnsi="Sylfaen" w:cs="Times New Roman"/>
          <w:iCs/>
          <w:lang w:val="ka-GE" w:eastAsia="ru-RU"/>
        </w:rPr>
        <w:t>ი ქალი პაციენტების</w:t>
      </w:r>
      <w:r w:rsidRPr="00472227">
        <w:rPr>
          <w:rFonts w:ascii="Sylfaen" w:eastAsia="Times New Roman" w:hAnsi="Sylfaen" w:cs="Times New Roman"/>
          <w:iCs/>
          <w:lang w:val="ka-GE" w:eastAsia="ru-RU"/>
        </w:rPr>
        <w:t xml:space="preserve"> გადანაწილება დაზიანების სტრ</w:t>
      </w:r>
      <w:r>
        <w:rPr>
          <w:rFonts w:ascii="Sylfaen" w:eastAsia="Times New Roman" w:hAnsi="Sylfaen" w:cs="Times New Roman"/>
          <w:iCs/>
          <w:lang w:val="ka-GE" w:eastAsia="ru-RU"/>
        </w:rPr>
        <w:t>უქტურის და ასაკის მიხედვით</w:t>
      </w:r>
    </w:p>
    <w:p w:rsidR="0002323E" w:rsidRDefault="0002323E">
      <w:r w:rsidRPr="00472227">
        <w:rPr>
          <w:rFonts w:ascii="Sylfaen" w:hAnsi="Sylfaen"/>
          <w:noProof/>
        </w:rPr>
        <w:drawing>
          <wp:inline distT="0" distB="0" distL="0" distR="0" wp14:anchorId="08304BEE" wp14:editId="3FDD8FC0">
            <wp:extent cx="5915025" cy="17049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323E" w:rsidRDefault="0002323E" w:rsidP="00DB49B1">
      <w:pPr>
        <w:spacing w:before="240" w:after="0" w:line="240" w:lineRule="auto"/>
        <w:jc w:val="both"/>
        <w:rPr>
          <w:rFonts w:ascii="Sylfaen" w:eastAsia="Calibri" w:hAnsi="Sylfaen" w:cs="Times New Roman"/>
          <w:lang w:val="ka-GE" w:eastAsia="zh-CN"/>
        </w:rPr>
      </w:pPr>
      <w:r>
        <w:rPr>
          <w:rFonts w:ascii="Sylfaen" w:eastAsia="Calibri" w:hAnsi="Sylfaen" w:cs="Times New Roman"/>
          <w:lang w:val="ka-GE" w:eastAsia="zh-CN"/>
        </w:rPr>
        <w:t>მამაკაცებში განსხვავებული სურათია,  ყველა ასაკობრივ კატეგორიაში  სხვადასხვა ლოკალიზაციის მოტეხილობები დომინირებს.</w:t>
      </w:r>
    </w:p>
    <w:p w:rsidR="0002323E" w:rsidRDefault="0002323E" w:rsidP="00DB49B1">
      <w:pPr>
        <w:spacing w:before="240" w:after="0" w:line="240" w:lineRule="auto"/>
        <w:jc w:val="both"/>
        <w:rPr>
          <w:rFonts w:ascii="Sylfaen" w:eastAsia="Times New Roman" w:hAnsi="Sylfaen" w:cs="Times New Roman"/>
          <w:iCs/>
          <w:lang w:val="ka-GE" w:eastAsia="ru-RU"/>
        </w:rPr>
      </w:pPr>
      <w:r>
        <w:rPr>
          <w:rFonts w:ascii="Sylfaen" w:eastAsia="Calibri" w:hAnsi="Sylfaen" w:cs="Times New Roman"/>
          <w:lang w:val="ka-GE" w:eastAsia="zh-CN"/>
        </w:rPr>
        <w:t xml:space="preserve">სურათი 6. </w:t>
      </w:r>
      <w:r w:rsidRPr="00472227">
        <w:rPr>
          <w:rFonts w:ascii="Sylfaen" w:hAnsi="Sylfaen"/>
          <w:lang w:val="ka-GE"/>
        </w:rPr>
        <w:t xml:space="preserve">ვარდნის მიზეზით </w:t>
      </w:r>
      <w:r w:rsidRPr="00472227">
        <w:rPr>
          <w:rFonts w:ascii="Sylfaen" w:eastAsia="Times New Roman" w:hAnsi="Sylfaen" w:cs="Times New Roman"/>
          <w:iCs/>
          <w:lang w:val="ka-GE" w:eastAsia="ru-RU"/>
        </w:rPr>
        <w:t>ჰოსპიტალიზებულ</w:t>
      </w:r>
      <w:r>
        <w:rPr>
          <w:rFonts w:ascii="Sylfaen" w:eastAsia="Times New Roman" w:hAnsi="Sylfaen" w:cs="Times New Roman"/>
          <w:iCs/>
          <w:lang w:val="ka-GE" w:eastAsia="ru-RU"/>
        </w:rPr>
        <w:t>ი მამაკაცი პაციენტების</w:t>
      </w:r>
      <w:r w:rsidRPr="00472227">
        <w:rPr>
          <w:rFonts w:ascii="Sylfaen" w:eastAsia="Times New Roman" w:hAnsi="Sylfaen" w:cs="Times New Roman"/>
          <w:iCs/>
          <w:lang w:val="ka-GE" w:eastAsia="ru-RU"/>
        </w:rPr>
        <w:t xml:space="preserve"> გადანაწილება დაზიანების სტრ</w:t>
      </w:r>
      <w:r>
        <w:rPr>
          <w:rFonts w:ascii="Sylfaen" w:eastAsia="Times New Roman" w:hAnsi="Sylfaen" w:cs="Times New Roman"/>
          <w:iCs/>
          <w:lang w:val="ka-GE" w:eastAsia="ru-RU"/>
        </w:rPr>
        <w:t>უქტურის და ასაკის მიხედვით</w:t>
      </w:r>
    </w:p>
    <w:p w:rsidR="001B0063" w:rsidRDefault="001B0063" w:rsidP="00DB49B1">
      <w:pPr>
        <w:spacing w:before="240" w:after="0" w:line="240" w:lineRule="auto"/>
        <w:jc w:val="both"/>
        <w:rPr>
          <w:rFonts w:ascii="Sylfaen" w:eastAsia="Times New Roman" w:hAnsi="Sylfaen" w:cs="Times New Roman"/>
          <w:iCs/>
          <w:lang w:val="ka-GE" w:eastAsia="ru-RU"/>
        </w:rPr>
      </w:pPr>
    </w:p>
    <w:p w:rsidR="0002323E" w:rsidRDefault="0002323E">
      <w:r w:rsidRPr="00472227">
        <w:rPr>
          <w:rFonts w:ascii="Sylfaen" w:hAnsi="Sylfaen"/>
          <w:noProof/>
        </w:rPr>
        <w:lastRenderedPageBreak/>
        <w:drawing>
          <wp:inline distT="0" distB="0" distL="0" distR="0" wp14:anchorId="065E6DDB" wp14:editId="6FA92B38">
            <wp:extent cx="5962650" cy="178117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66D4" w:rsidRPr="00D14F40" w:rsidRDefault="006266D4" w:rsidP="0065098A">
      <w:pPr>
        <w:spacing w:before="240" w:after="0" w:line="240" w:lineRule="auto"/>
        <w:jc w:val="both"/>
        <w:rPr>
          <w:rFonts w:ascii="Sylfaen" w:eastAsia="Calibri" w:hAnsi="Sylfaen" w:cs="Times New Roman"/>
          <w:b/>
          <w:lang w:val="ka-GE" w:eastAsia="zh-CN"/>
        </w:rPr>
      </w:pPr>
      <w:r w:rsidRPr="00D14F40">
        <w:rPr>
          <w:rFonts w:ascii="Sylfaen" w:eastAsia="Calibri" w:hAnsi="Sylfaen" w:cs="Times New Roman"/>
          <w:b/>
          <w:lang w:val="ka-GE" w:eastAsia="zh-CN"/>
        </w:rPr>
        <w:t>დასკვნები</w:t>
      </w:r>
    </w:p>
    <w:p w:rsidR="006266D4" w:rsidRPr="00D14F40" w:rsidRDefault="006266D4" w:rsidP="0065098A">
      <w:pPr>
        <w:spacing w:before="240" w:after="0" w:line="240" w:lineRule="auto"/>
        <w:jc w:val="both"/>
        <w:rPr>
          <w:rFonts w:ascii="Sylfaen" w:hAnsi="Sylfaen"/>
          <w:lang w:val="ka-GE"/>
        </w:rPr>
      </w:pPr>
      <w:r w:rsidRPr="00D14F40">
        <w:rPr>
          <w:rFonts w:ascii="Sylfaen" w:hAnsi="Sylfaen"/>
          <w:lang w:val="ka-GE"/>
        </w:rPr>
        <w:t xml:space="preserve">დაავადებათა კონტროლისა და საზოგადოებრივი ჯანმრთელობის ეროვნულ ცენტრში 2018 წლის განმავლობაში ვარდნის და მოტეხილობების შემთხვევების შედეგად ჰოსპიტალიზირებულ პაცინტთა მონაცემთა ბაზის აღწერილობითი სტატისტიკური ანალიზის შედეგებმა ცხადყო, რომ </w:t>
      </w:r>
    </w:p>
    <w:p w:rsidR="006266D4" w:rsidRPr="00D14F40" w:rsidRDefault="006266D4" w:rsidP="0065098A">
      <w:pPr>
        <w:pStyle w:val="ListParagraph"/>
        <w:numPr>
          <w:ilvl w:val="0"/>
          <w:numId w:val="3"/>
        </w:numPr>
        <w:spacing w:before="240" w:after="0" w:line="240" w:lineRule="auto"/>
        <w:jc w:val="both"/>
        <w:rPr>
          <w:rFonts w:ascii="Sylfaen" w:hAnsi="Sylfaen"/>
          <w:lang w:val="ka-GE"/>
        </w:rPr>
      </w:pPr>
      <w:r w:rsidRPr="00D14F40">
        <w:rPr>
          <w:rFonts w:ascii="Sylfaen" w:hAnsi="Sylfaen" w:cs="Sylfaen"/>
          <w:lang w:val="ka-GE"/>
        </w:rPr>
        <w:t>ვარდნის</w:t>
      </w:r>
      <w:r w:rsidRPr="00D14F40">
        <w:rPr>
          <w:rFonts w:ascii="Sylfaen" w:hAnsi="Sylfaen"/>
          <w:lang w:val="ka-GE"/>
        </w:rPr>
        <w:t xml:space="preserve"> შედეგად მიღებული დაზიანებების მიზეზით ჰოსპიტალიზებული პაციენტეში 65 წლამდე მამაკაცები ლიდერობენ, მათი დაშავების მაჩვენებელი პიკს აღწევს 26-45 ასაკობრივ  ჯგუფში.</w:t>
      </w:r>
    </w:p>
    <w:p w:rsidR="006266D4" w:rsidRPr="00D14F40" w:rsidRDefault="006266D4" w:rsidP="0065098A">
      <w:pPr>
        <w:pStyle w:val="ListParagraph"/>
        <w:numPr>
          <w:ilvl w:val="0"/>
          <w:numId w:val="3"/>
        </w:numPr>
        <w:spacing w:before="240" w:after="0" w:line="240" w:lineRule="auto"/>
        <w:jc w:val="both"/>
        <w:rPr>
          <w:rFonts w:ascii="Sylfaen" w:hAnsi="Sylfaen"/>
          <w:lang w:val="ka-GE"/>
        </w:rPr>
      </w:pPr>
      <w:r w:rsidRPr="00D14F40">
        <w:rPr>
          <w:rFonts w:ascii="Sylfaen" w:hAnsi="Sylfaen"/>
          <w:lang w:val="ka-GE"/>
        </w:rPr>
        <w:t>66-95 ასაკობრივ კატეგორიაში სურათი იცვლება და ქალები  მნიშვნელოვანი უპირატესობით  გამოირჩევიან.</w:t>
      </w:r>
    </w:p>
    <w:p w:rsidR="006266D4" w:rsidRPr="00D14F40" w:rsidRDefault="006266D4" w:rsidP="0065098A">
      <w:pPr>
        <w:pStyle w:val="ListParagraph"/>
        <w:numPr>
          <w:ilvl w:val="0"/>
          <w:numId w:val="3"/>
        </w:numPr>
        <w:spacing w:before="240" w:after="0" w:line="240" w:lineRule="auto"/>
        <w:jc w:val="both"/>
        <w:rPr>
          <w:rFonts w:ascii="Sylfaen" w:hAnsi="Sylfaen"/>
          <w:lang w:val="ka-GE"/>
        </w:rPr>
      </w:pPr>
      <w:r w:rsidRPr="00D14F40">
        <w:rPr>
          <w:rFonts w:ascii="Sylfaen" w:hAnsi="Sylfaen"/>
          <w:lang w:val="ka-GE"/>
        </w:rPr>
        <w:t>65 წელს ზემოთ ასაკობრივ კატეგორიაში ბარძაყის ყელის მოტეხილობის მიმართ განსაკუთრებული მოწყვლადობით ქალები გამოირჩევიან.</w:t>
      </w:r>
    </w:p>
    <w:p w:rsidR="006266D4" w:rsidRPr="00D14F40" w:rsidRDefault="006266D4" w:rsidP="0065098A">
      <w:pPr>
        <w:pStyle w:val="ListParagraph"/>
        <w:numPr>
          <w:ilvl w:val="0"/>
          <w:numId w:val="3"/>
        </w:numPr>
        <w:spacing w:before="240" w:after="0" w:line="240" w:lineRule="auto"/>
        <w:jc w:val="both"/>
        <w:rPr>
          <w:rFonts w:ascii="Sylfaen" w:eastAsia="Calibri" w:hAnsi="Sylfaen" w:cs="Times New Roman"/>
          <w:b/>
          <w:lang w:val="ka-GE" w:eastAsia="zh-CN"/>
        </w:rPr>
      </w:pPr>
      <w:r w:rsidRPr="00D14F40">
        <w:rPr>
          <w:rFonts w:ascii="Sylfaen" w:hAnsi="Sylfaen" w:cs="Sylfaen"/>
          <w:lang w:val="ka-GE"/>
        </w:rPr>
        <w:t>მამაკაცების</w:t>
      </w:r>
      <w:r w:rsidRPr="00D14F40">
        <w:rPr>
          <w:rFonts w:ascii="Sylfaen" w:hAnsi="Sylfaen"/>
          <w:lang w:val="ka-GE"/>
        </w:rPr>
        <w:t xml:space="preserve"> ყველა ასაკობრივ კატეგორიაში</w:t>
      </w:r>
      <w:r w:rsidR="00CE0032" w:rsidRPr="00D14F40">
        <w:rPr>
          <w:rFonts w:ascii="Sylfaen" w:hAnsi="Sylfaen"/>
          <w:lang w:val="ka-GE"/>
        </w:rPr>
        <w:t xml:space="preserve"> პრევალირებს</w:t>
      </w:r>
      <w:r w:rsidRPr="00D14F40">
        <w:rPr>
          <w:rFonts w:ascii="Sylfaen" w:hAnsi="Sylfaen"/>
          <w:lang w:val="ka-GE"/>
        </w:rPr>
        <w:t xml:space="preserve"> სხვადასხვა ლოკალიზაციის მოტეხილობები.</w:t>
      </w:r>
    </w:p>
    <w:p w:rsidR="006266D4" w:rsidRDefault="006266D4" w:rsidP="0065098A">
      <w:pPr>
        <w:spacing w:before="240" w:after="0" w:line="240" w:lineRule="auto"/>
        <w:jc w:val="both"/>
        <w:rPr>
          <w:rFonts w:ascii="Sylfaen" w:eastAsia="Calibri" w:hAnsi="Sylfaen" w:cs="Times New Roman"/>
          <w:lang w:val="ka-GE" w:eastAsia="zh-CN"/>
        </w:rPr>
      </w:pPr>
      <w:r w:rsidRPr="00D14F40">
        <w:rPr>
          <w:rFonts w:ascii="Sylfaen" w:eastAsia="Calibri" w:hAnsi="Sylfaen" w:cs="Times New Roman"/>
          <w:lang w:val="ka-GE" w:eastAsia="zh-CN"/>
        </w:rPr>
        <w:t xml:space="preserve">ჩატარებული კვლევის შედეგები შეესაბამება მსოფლიოს გამოცდილებას, რაც შესაძლებელს ხდის ვივარაუდოთ, რომ </w:t>
      </w:r>
      <w:r w:rsidRPr="00D14F40">
        <w:rPr>
          <w:rFonts w:ascii="Sylfaen" w:hAnsi="Sylfaen"/>
          <w:lang w:val="ka-GE"/>
        </w:rPr>
        <w:t xml:space="preserve">66-95 ასაკობრივი კატეგორიის </w:t>
      </w:r>
      <w:r w:rsidRPr="00D14F40">
        <w:rPr>
          <w:rFonts w:ascii="Sylfaen" w:eastAsia="Calibri" w:hAnsi="Sylfaen" w:cs="Times New Roman"/>
          <w:lang w:val="ka-GE" w:eastAsia="zh-CN"/>
        </w:rPr>
        <w:t>ქალებში მოტეხილობების და განსაკუთრებით ბარძაყის ძვლის მოტეხილობის მაღალი მაჩვენებელი დაკავშირებულია ოსტეოპოროზთან.  ოსტეოპოროზის რისკი ქალებს მამაკაცებზე გაცილებ¬ით მაღალი აქვთ. ოსტეოპოროზის საერთაშორისო ორგანიზაციამ დაადგინა, რომ მთელ მსოფლიოში ეს დაავადება 200 მილიონ ქალს აქვს. ქალის ასაკის მატებასთან ერთად საკვერცხეების მიერ პროდუცირებული ესტროგენის რაოდენობა პროგრესულად მცირდება. მენოპაუზამდე (მენსტრუალური ციკლის შეწყვეტამდე) ქალებს მამაკაცებზე მეტი ესტროგენი აქვთ, მაგრამ მენოპაუზის (ციკლის შეწყვეტის) შემდეგ მისი დონე მკვეთრად მცირდება. შესაბამისად, იზრდება ძვლის მინერალური სიმკვრივის კლებისა და ოსტეოპოროზის რისკი.</w:t>
      </w:r>
    </w:p>
    <w:p w:rsidR="00803F8C" w:rsidRPr="00DB49B1" w:rsidRDefault="00A657A4" w:rsidP="0065098A">
      <w:pPr>
        <w:spacing w:before="240" w:after="0" w:line="240" w:lineRule="auto"/>
        <w:jc w:val="both"/>
        <w:rPr>
          <w:rFonts w:ascii="Sylfaen" w:eastAsia="Calibri" w:hAnsi="Sylfaen" w:cs="Times New Roman"/>
          <w:b/>
          <w:lang w:val="ka-GE" w:eastAsia="zh-CN"/>
        </w:rPr>
      </w:pPr>
      <w:r w:rsidRPr="00A657A4">
        <w:rPr>
          <w:rFonts w:ascii="Sylfaen" w:eastAsia="Calibri" w:hAnsi="Sylfaen" w:cs="Times New Roman"/>
          <w:b/>
          <w:lang w:val="ka-GE" w:eastAsia="zh-CN"/>
        </w:rPr>
        <w:t>რეკომენდაციები</w:t>
      </w:r>
    </w:p>
    <w:p w:rsidR="00EA079B" w:rsidRPr="00EA079B" w:rsidRDefault="00A657A4" w:rsidP="0065098A">
      <w:pPr>
        <w:spacing w:before="240" w:after="0" w:line="240" w:lineRule="auto"/>
        <w:jc w:val="both"/>
        <w:rPr>
          <w:rFonts w:ascii="Sylfaen" w:eastAsia="Calibri" w:hAnsi="Sylfaen" w:cs="Times New Roman"/>
          <w:lang w:val="ka-GE" w:eastAsia="zh-CN"/>
        </w:rPr>
      </w:pPr>
      <w:r w:rsidRPr="007F7DBA">
        <w:rPr>
          <w:rFonts w:ascii="Sylfaen" w:eastAsia="Calibri" w:hAnsi="Sylfaen" w:cs="Times New Roman"/>
          <w:lang w:val="ka-GE" w:eastAsia="zh-CN"/>
        </w:rPr>
        <w:t>ოსტეოპოროზის პრევენცია</w:t>
      </w:r>
      <w:r w:rsidR="00EA079B">
        <w:rPr>
          <w:rFonts w:ascii="Sylfaen" w:eastAsia="Calibri" w:hAnsi="Sylfaen" w:cs="Times New Roman"/>
          <w:lang w:val="ka-GE" w:eastAsia="zh-CN"/>
        </w:rPr>
        <w:t xml:space="preserve"> და </w:t>
      </w:r>
      <w:r w:rsidRPr="007F7DBA">
        <w:rPr>
          <w:rFonts w:ascii="Sylfaen" w:eastAsia="Calibri" w:hAnsi="Sylfaen" w:cs="Times New Roman"/>
          <w:lang w:val="ka-GE" w:eastAsia="zh-CN"/>
        </w:rPr>
        <w:t xml:space="preserve"> დიაგნოსტიკა</w:t>
      </w:r>
      <w:r>
        <w:rPr>
          <w:rFonts w:ascii="Sylfaen" w:eastAsia="Calibri" w:hAnsi="Sylfaen" w:cs="Times New Roman"/>
          <w:lang w:val="ka-GE" w:eastAsia="zh-CN"/>
        </w:rPr>
        <w:t xml:space="preserve"> </w:t>
      </w:r>
      <w:r w:rsidR="00EA079B">
        <w:rPr>
          <w:rFonts w:ascii="Sylfaen" w:eastAsia="Calibri" w:hAnsi="Sylfaen" w:cs="Times New Roman"/>
          <w:lang w:val="ka-GE" w:eastAsia="zh-CN"/>
        </w:rPr>
        <w:t xml:space="preserve">უნდა გახდეს </w:t>
      </w:r>
      <w:r>
        <w:rPr>
          <w:rFonts w:ascii="Sylfaen" w:eastAsia="Calibri" w:hAnsi="Sylfaen" w:cs="Times New Roman"/>
          <w:lang w:val="ka-GE" w:eastAsia="zh-CN"/>
        </w:rPr>
        <w:t>საზოგადოებრივი ჯანდაცვის</w:t>
      </w:r>
      <w:r w:rsidR="00EA079B">
        <w:rPr>
          <w:rFonts w:ascii="Sylfaen" w:eastAsia="Calibri" w:hAnsi="Sylfaen" w:cs="Times New Roman"/>
          <w:lang w:val="ka-GE" w:eastAsia="zh-CN"/>
        </w:rPr>
        <w:t xml:space="preserve"> პრიორიტეტი. </w:t>
      </w:r>
    </w:p>
    <w:p w:rsidR="00803F8C" w:rsidRDefault="00EA079B" w:rsidP="0065098A">
      <w:pPr>
        <w:spacing w:before="240" w:after="0" w:line="240" w:lineRule="auto"/>
        <w:jc w:val="both"/>
        <w:rPr>
          <w:rFonts w:ascii="Sylfaen" w:eastAsia="Calibri" w:hAnsi="Sylfaen" w:cs="Times New Roman"/>
          <w:lang w:val="ka-GE" w:eastAsia="zh-CN"/>
        </w:rPr>
      </w:pPr>
      <w:r w:rsidRPr="007F7DBA">
        <w:rPr>
          <w:rFonts w:ascii="Sylfaen" w:eastAsia="Calibri" w:hAnsi="Sylfaen" w:cs="Times New Roman"/>
          <w:lang w:val="ka-GE" w:eastAsia="zh-CN"/>
        </w:rPr>
        <w:t>ოსტეოპოროზის ნაციონალურმა ფონდმა 1999 წელს გამოაქვეყნა გზამკვლევი</w:t>
      </w:r>
      <w:r>
        <w:rPr>
          <w:rFonts w:ascii="Sylfaen" w:eastAsia="Calibri" w:hAnsi="Sylfaen" w:cs="Times New Roman"/>
          <w:lang w:val="ka-GE" w:eastAsia="zh-CN"/>
        </w:rPr>
        <w:t xml:space="preserve">, რომელიც </w:t>
      </w:r>
      <w:r w:rsidRPr="00EA079B">
        <w:rPr>
          <w:rFonts w:ascii="Sylfaen" w:eastAsia="Calibri" w:hAnsi="Sylfaen" w:cs="Times New Roman"/>
          <w:lang w:val="ka-GE" w:eastAsia="zh-CN"/>
        </w:rPr>
        <w:t xml:space="preserve">გვთავაზობს მოკლე რეკომენდაციებს ქალებში პოსტმენოპაუზურ პერიოდის ასაკში და </w:t>
      </w:r>
      <w:r w:rsidRPr="00EA079B">
        <w:rPr>
          <w:rFonts w:ascii="Sylfaen" w:eastAsia="Calibri" w:hAnsi="Sylfaen" w:cs="Times New Roman"/>
          <w:lang w:val="ka-GE" w:eastAsia="zh-CN"/>
        </w:rPr>
        <w:lastRenderedPageBreak/>
        <w:t>მამაკაცებში 50 წელს ზემოთ</w:t>
      </w:r>
      <w:r>
        <w:rPr>
          <w:rFonts w:ascii="Sylfaen" w:eastAsia="Calibri" w:hAnsi="Sylfaen" w:cs="Times New Roman"/>
          <w:lang w:val="ka-GE" w:eastAsia="zh-CN"/>
        </w:rPr>
        <w:t xml:space="preserve"> </w:t>
      </w:r>
      <w:r w:rsidRPr="00EA079B">
        <w:rPr>
          <w:rFonts w:ascii="Sylfaen" w:eastAsia="Calibri" w:hAnsi="Sylfaen" w:cs="Times New Roman"/>
          <w:lang w:val="ka-GE" w:eastAsia="zh-CN"/>
        </w:rPr>
        <w:t>ოსტეოპოროზის პრევენციის, რისკის შეფასების, დიაგნოსტიკის და მკურნალობის შესახებ</w:t>
      </w:r>
      <w:r>
        <w:rPr>
          <w:rFonts w:ascii="Sylfaen" w:eastAsia="Calibri" w:hAnsi="Sylfaen" w:cs="Times New Roman"/>
          <w:lang w:val="ka-GE" w:eastAsia="zh-CN"/>
        </w:rPr>
        <w:t>.</w:t>
      </w:r>
    </w:p>
    <w:p w:rsidR="00803F8C" w:rsidRDefault="00803F8C" w:rsidP="0065098A">
      <w:pPr>
        <w:spacing w:before="240" w:after="0" w:line="240" w:lineRule="auto"/>
        <w:jc w:val="both"/>
        <w:rPr>
          <w:rFonts w:ascii="Sylfaen" w:eastAsia="Calibri" w:hAnsi="Sylfaen" w:cs="Times New Roman"/>
          <w:lang w:val="ka-GE" w:eastAsia="zh-CN"/>
        </w:rPr>
      </w:pPr>
      <w:r w:rsidRPr="007D3D2C">
        <w:rPr>
          <w:rFonts w:ascii="Sylfaen" w:eastAsia="Calibri" w:hAnsi="Sylfaen" w:cs="Times New Roman"/>
          <w:lang w:val="ka-GE" w:eastAsia="zh-CN"/>
        </w:rPr>
        <w:t>არსებობს გარკვეული ბარიერები, რაც ხელს უშლის ექიმებს დროულად შეამჩნიონ ძვლის გამოფიტვა და შესაბამისად დანიშნონ მედიკამენტები სამკურნალოდ, თუ პრევენციისათვის. ეს ბარიერებია: დროის ნაკლებობა, დაფინანსება როგორც ძვლის მინერალური სიმკვრივის სკრინინგისთვის, ასევე მედიკამენტებისთვის.</w:t>
      </w:r>
    </w:p>
    <w:p w:rsidR="00803F8C" w:rsidRDefault="00803F8C" w:rsidP="0065098A">
      <w:pPr>
        <w:spacing w:before="240" w:after="0" w:line="240" w:lineRule="auto"/>
        <w:jc w:val="both"/>
        <w:rPr>
          <w:rFonts w:ascii="Sylfaen" w:eastAsia="Calibri" w:hAnsi="Sylfaen" w:cs="Times New Roman"/>
          <w:lang w:val="ka-GE" w:eastAsia="zh-CN"/>
        </w:rPr>
      </w:pPr>
      <w:r w:rsidRPr="007D3D2C">
        <w:rPr>
          <w:rFonts w:ascii="Sylfaen" w:eastAsia="Calibri" w:hAnsi="Sylfaen" w:cs="Times New Roman"/>
          <w:lang w:val="ka-GE" w:eastAsia="zh-CN"/>
        </w:rPr>
        <w:t>ბარიერს წარმოადგენს ასევე ქალების დამოკიდებულება პრევენციული ღონისძიებებისადმი. მედიკამენტების ხანგრძლივი მოხმარების საჭიროება და გვერდითი ეფექტები შესაძლოა უარყოფთად განაწყობდეს პაციენტებს მკურნალობისადმი.</w:t>
      </w:r>
    </w:p>
    <w:p w:rsidR="00EA079B" w:rsidRPr="00EA079B" w:rsidRDefault="00EA079B" w:rsidP="0065098A">
      <w:pPr>
        <w:spacing w:before="240" w:after="0" w:line="240" w:lineRule="auto"/>
        <w:jc w:val="both"/>
        <w:rPr>
          <w:rFonts w:ascii="Sylfaen" w:eastAsia="Calibri" w:hAnsi="Sylfaen" w:cs="Times New Roman"/>
          <w:lang w:val="ka-GE" w:eastAsia="zh-CN"/>
        </w:rPr>
      </w:pPr>
      <w:r w:rsidRPr="00EA079B">
        <w:rPr>
          <w:rFonts w:ascii="Sylfaen" w:eastAsia="Calibri" w:hAnsi="Sylfaen" w:cs="Times New Roman"/>
          <w:lang w:val="ka-GE" w:eastAsia="zh-CN"/>
        </w:rPr>
        <w:t xml:space="preserve"> საერთო </w:t>
      </w:r>
      <w:r>
        <w:rPr>
          <w:rFonts w:ascii="Sylfaen" w:eastAsia="Calibri" w:hAnsi="Sylfaen" w:cs="Times New Roman"/>
          <w:lang w:val="ka-GE" w:eastAsia="zh-CN"/>
        </w:rPr>
        <w:t>მიზ</w:t>
      </w:r>
      <w:r w:rsidRPr="00EA079B">
        <w:rPr>
          <w:rFonts w:ascii="Sylfaen" w:eastAsia="Calibri" w:hAnsi="Sylfaen" w:cs="Times New Roman"/>
          <w:lang w:val="ka-GE" w:eastAsia="zh-CN"/>
        </w:rPr>
        <w:t>ნ</w:t>
      </w:r>
      <w:r>
        <w:rPr>
          <w:rFonts w:ascii="Sylfaen" w:eastAsia="Calibri" w:hAnsi="Sylfaen" w:cs="Times New Roman"/>
          <w:lang w:val="ka-GE" w:eastAsia="zh-CN"/>
        </w:rPr>
        <w:t>ის</w:t>
      </w:r>
      <w:r w:rsidR="00BF5060">
        <w:rPr>
          <w:rFonts w:ascii="Sylfaen" w:eastAsia="Calibri" w:hAnsi="Sylfaen" w:cs="Times New Roman"/>
          <w:lang w:val="ka-GE" w:eastAsia="zh-CN"/>
        </w:rPr>
        <w:t xml:space="preserve"> - </w:t>
      </w:r>
      <w:r w:rsidRPr="00EA079B">
        <w:rPr>
          <w:rFonts w:ascii="Sylfaen" w:eastAsia="Calibri" w:hAnsi="Sylfaen" w:cs="Times New Roman"/>
          <w:lang w:val="ka-GE" w:eastAsia="zh-CN"/>
        </w:rPr>
        <w:t>მსოფლიო ოსტეოპოროზული მოტეხილობების გარეშე</w:t>
      </w:r>
      <w:r w:rsidR="00BF5060">
        <w:rPr>
          <w:rFonts w:ascii="Sylfaen" w:eastAsia="Calibri" w:hAnsi="Sylfaen" w:cs="Times New Roman"/>
          <w:lang w:val="ka-GE" w:eastAsia="zh-CN"/>
        </w:rPr>
        <w:t>,</w:t>
      </w:r>
      <w:r>
        <w:rPr>
          <w:rFonts w:ascii="Sylfaen" w:eastAsia="Calibri" w:hAnsi="Sylfaen" w:cs="Times New Roman"/>
          <w:lang w:val="ka-GE" w:eastAsia="zh-CN"/>
        </w:rPr>
        <w:t xml:space="preserve"> მისაღწევად </w:t>
      </w:r>
      <w:r w:rsidRPr="00EA079B">
        <w:rPr>
          <w:rFonts w:ascii="Sylfaen" w:eastAsia="Calibri" w:hAnsi="Sylfaen" w:cs="Times New Roman"/>
          <w:lang w:val="ka-GE" w:eastAsia="zh-CN"/>
        </w:rPr>
        <w:t xml:space="preserve"> </w:t>
      </w:r>
      <w:r>
        <w:rPr>
          <w:rFonts w:ascii="Sylfaen" w:eastAsia="Calibri" w:hAnsi="Sylfaen" w:cs="Times New Roman"/>
          <w:lang w:val="ka-GE" w:eastAsia="zh-CN"/>
        </w:rPr>
        <w:t>აუცილებელია:</w:t>
      </w:r>
    </w:p>
    <w:p w:rsidR="00EA079B" w:rsidRPr="00C649D0" w:rsidRDefault="00BF5060" w:rsidP="0065098A">
      <w:pPr>
        <w:pStyle w:val="ListParagraph"/>
        <w:numPr>
          <w:ilvl w:val="0"/>
          <w:numId w:val="6"/>
        </w:numPr>
        <w:spacing w:before="240" w:after="0" w:line="240" w:lineRule="auto"/>
        <w:jc w:val="both"/>
        <w:rPr>
          <w:rFonts w:ascii="Sylfaen" w:eastAsia="Calibri" w:hAnsi="Sylfaen" w:cs="Times New Roman"/>
          <w:lang w:val="ka-GE" w:eastAsia="zh-CN"/>
        </w:rPr>
      </w:pPr>
      <w:r w:rsidRPr="00C649D0">
        <w:rPr>
          <w:rFonts w:ascii="Sylfaen" w:eastAsia="Calibri" w:hAnsi="Sylfaen" w:cs="Times New Roman"/>
          <w:lang w:val="ka-GE" w:eastAsia="zh-CN"/>
        </w:rPr>
        <w:t xml:space="preserve">ამაღლდეს </w:t>
      </w:r>
      <w:r w:rsidR="00EA079B" w:rsidRPr="00C649D0">
        <w:rPr>
          <w:rFonts w:ascii="Sylfaen" w:eastAsia="Calibri" w:hAnsi="Sylfaen" w:cs="Times New Roman"/>
          <w:lang w:val="ka-GE" w:eastAsia="zh-CN"/>
        </w:rPr>
        <w:t xml:space="preserve"> ცნობიერ</w:t>
      </w:r>
      <w:r w:rsidRPr="00C649D0">
        <w:rPr>
          <w:rFonts w:ascii="Sylfaen" w:eastAsia="Calibri" w:hAnsi="Sylfaen" w:cs="Times New Roman"/>
          <w:lang w:val="ka-GE" w:eastAsia="zh-CN"/>
        </w:rPr>
        <w:t xml:space="preserve">ება ქალებში </w:t>
      </w:r>
      <w:r w:rsidR="00EA079B" w:rsidRPr="00C649D0">
        <w:rPr>
          <w:rFonts w:ascii="Sylfaen" w:eastAsia="Calibri" w:hAnsi="Sylfaen" w:cs="Times New Roman"/>
          <w:lang w:val="ka-GE" w:eastAsia="zh-CN"/>
        </w:rPr>
        <w:t>ოსტეოპოროზის რისკ-ფაქტორების შესახებ;</w:t>
      </w:r>
    </w:p>
    <w:p w:rsidR="00EA079B" w:rsidRPr="00C649D0" w:rsidRDefault="00BF5060" w:rsidP="0065098A">
      <w:pPr>
        <w:pStyle w:val="ListParagraph"/>
        <w:numPr>
          <w:ilvl w:val="0"/>
          <w:numId w:val="6"/>
        </w:numPr>
        <w:spacing w:before="240" w:after="0" w:line="240" w:lineRule="auto"/>
        <w:jc w:val="both"/>
        <w:rPr>
          <w:rFonts w:ascii="Sylfaen" w:eastAsia="Calibri" w:hAnsi="Sylfaen" w:cs="Times New Roman"/>
          <w:lang w:val="ka-GE" w:eastAsia="zh-CN"/>
        </w:rPr>
      </w:pPr>
      <w:r w:rsidRPr="00C649D0">
        <w:rPr>
          <w:rFonts w:ascii="Sylfaen" w:eastAsia="Calibri" w:hAnsi="Sylfaen" w:cs="Times New Roman"/>
          <w:lang w:val="ka-GE" w:eastAsia="zh-CN"/>
        </w:rPr>
        <w:t>გადაფასდეს</w:t>
      </w:r>
      <w:r w:rsidR="00EA079B" w:rsidRPr="00C649D0">
        <w:rPr>
          <w:rFonts w:ascii="Sylfaen" w:eastAsia="Calibri" w:hAnsi="Sylfaen" w:cs="Times New Roman"/>
          <w:lang w:val="ka-GE" w:eastAsia="zh-CN"/>
        </w:rPr>
        <w:t xml:space="preserve"> </w:t>
      </w:r>
      <w:r w:rsidRPr="00C649D0">
        <w:rPr>
          <w:rFonts w:ascii="Sylfaen" w:eastAsia="Calibri" w:hAnsi="Sylfaen" w:cs="Times New Roman"/>
          <w:lang w:val="ka-GE" w:eastAsia="zh-CN"/>
        </w:rPr>
        <w:t>თანამედროვე</w:t>
      </w:r>
      <w:r w:rsidR="00EA079B" w:rsidRPr="00C649D0">
        <w:rPr>
          <w:rFonts w:ascii="Sylfaen" w:eastAsia="Calibri" w:hAnsi="Sylfaen" w:cs="Times New Roman"/>
          <w:lang w:val="ka-GE" w:eastAsia="zh-CN"/>
        </w:rPr>
        <w:t xml:space="preserve"> სამედიცინო მიდგომები და მედიკამენტების </w:t>
      </w:r>
      <w:r w:rsidR="00EE224A">
        <w:rPr>
          <w:rFonts w:ascii="Sylfaen" w:eastAsia="Calibri" w:hAnsi="Sylfaen" w:cs="Times New Roman"/>
          <w:lang w:val="ka-GE" w:eastAsia="zh-CN"/>
        </w:rPr>
        <w:t>მიწოდება</w:t>
      </w:r>
      <w:r w:rsidR="00EA079B" w:rsidRPr="00C649D0">
        <w:rPr>
          <w:rFonts w:ascii="Sylfaen" w:eastAsia="Calibri" w:hAnsi="Sylfaen" w:cs="Times New Roman"/>
          <w:lang w:val="ka-GE" w:eastAsia="zh-CN"/>
        </w:rPr>
        <w:t xml:space="preserve"> </w:t>
      </w:r>
    </w:p>
    <w:p w:rsidR="00BF5060" w:rsidRPr="00C649D0" w:rsidRDefault="00BF5060" w:rsidP="0065098A">
      <w:pPr>
        <w:pStyle w:val="ListParagraph"/>
        <w:numPr>
          <w:ilvl w:val="0"/>
          <w:numId w:val="6"/>
        </w:numPr>
        <w:spacing w:before="240" w:after="0" w:line="240" w:lineRule="auto"/>
        <w:jc w:val="both"/>
        <w:rPr>
          <w:rFonts w:ascii="Sylfaen" w:eastAsia="Calibri" w:hAnsi="Sylfaen" w:cs="Times New Roman"/>
          <w:lang w:val="ka-GE" w:eastAsia="zh-CN"/>
        </w:rPr>
      </w:pPr>
      <w:r w:rsidRPr="00C649D0">
        <w:rPr>
          <w:rFonts w:ascii="Sylfaen" w:eastAsia="Calibri" w:hAnsi="Sylfaen" w:cs="Times New Roman"/>
          <w:lang w:val="ka-GE" w:eastAsia="zh-CN"/>
        </w:rPr>
        <w:t>სახელმწიფომ უზრუნველყოს ხელმისწვდომობა სათანადო ადრეულ პრევენციულ ღონისძიებებსა და მედიკამენტებზე;</w:t>
      </w:r>
    </w:p>
    <w:p w:rsidR="00BF5060" w:rsidRDefault="00BF5060" w:rsidP="0065098A">
      <w:pPr>
        <w:spacing w:before="240" w:after="0" w:line="240" w:lineRule="auto"/>
        <w:jc w:val="both"/>
        <w:rPr>
          <w:rFonts w:ascii="Sylfaen" w:eastAsia="Calibri" w:hAnsi="Sylfaen" w:cs="Times New Roman"/>
          <w:lang w:val="ka-GE" w:eastAsia="zh-CN"/>
        </w:rPr>
      </w:pPr>
    </w:p>
    <w:p w:rsidR="0044424A" w:rsidRDefault="0044424A" w:rsidP="0065098A">
      <w:pPr>
        <w:spacing w:before="240" w:after="0" w:line="240" w:lineRule="auto"/>
        <w:jc w:val="both"/>
        <w:rPr>
          <w:rFonts w:ascii="Sylfaen" w:eastAsia="Calibri" w:hAnsi="Sylfaen" w:cs="Times New Roman"/>
          <w:lang w:val="ka-GE" w:eastAsia="zh-CN"/>
        </w:rPr>
      </w:pPr>
    </w:p>
    <w:p w:rsidR="0044424A" w:rsidRPr="0044424A" w:rsidRDefault="0044424A" w:rsidP="0044424A">
      <w:pPr>
        <w:spacing w:before="240" w:after="0" w:line="240" w:lineRule="auto"/>
        <w:jc w:val="both"/>
        <w:rPr>
          <w:rFonts w:ascii="Sylfaen" w:eastAsia="Calibri" w:hAnsi="Sylfaen" w:cs="Times New Roman"/>
          <w:lang w:val="ka-GE" w:eastAsia="zh-CN"/>
        </w:rPr>
      </w:pPr>
      <w:r w:rsidRPr="0044424A">
        <w:rPr>
          <w:rFonts w:ascii="Sylfaen" w:eastAsia="Calibri" w:hAnsi="Sylfaen" w:cs="Times New Roman"/>
          <w:lang w:val="ka-GE" w:eastAsia="zh-CN"/>
        </w:rPr>
        <w:t>Resume:</w:t>
      </w:r>
    </w:p>
    <w:p w:rsidR="0044424A" w:rsidRPr="0044424A" w:rsidRDefault="0044424A" w:rsidP="0044424A">
      <w:pPr>
        <w:spacing w:before="240" w:after="0" w:line="240" w:lineRule="auto"/>
        <w:jc w:val="both"/>
        <w:rPr>
          <w:rFonts w:ascii="Sylfaen" w:eastAsia="Calibri" w:hAnsi="Sylfaen" w:cs="Times New Roman"/>
          <w:lang w:val="ka-GE" w:eastAsia="zh-CN"/>
        </w:rPr>
      </w:pPr>
      <w:r w:rsidRPr="0044424A">
        <w:rPr>
          <w:rFonts w:ascii="Sylfaen" w:eastAsia="Calibri" w:hAnsi="Sylfaen" w:cs="Times New Roman"/>
          <w:lang w:val="ka-GE" w:eastAsia="zh-CN"/>
        </w:rPr>
        <w:t>Investigation of the prevalence and epidemiological characteristics of fractures in the female population using the hospital database</w:t>
      </w:r>
    </w:p>
    <w:p w:rsidR="0044424A" w:rsidRPr="0044424A" w:rsidRDefault="0044424A" w:rsidP="0044424A">
      <w:pPr>
        <w:spacing w:before="240" w:after="0" w:line="240" w:lineRule="auto"/>
        <w:jc w:val="both"/>
        <w:rPr>
          <w:rFonts w:ascii="Sylfaen" w:eastAsia="Calibri" w:hAnsi="Sylfaen" w:cs="Times New Roman"/>
          <w:lang w:val="ka-GE" w:eastAsia="zh-CN"/>
        </w:rPr>
      </w:pPr>
      <w:r w:rsidRPr="0044424A">
        <w:rPr>
          <w:rFonts w:ascii="Sylfaen" w:eastAsia="Calibri" w:hAnsi="Sylfaen" w:cs="Times New Roman"/>
          <w:lang w:val="ka-GE" w:eastAsia="zh-CN"/>
        </w:rPr>
        <w:t>Background: About 4.5 million people died in 2017 as a result of injuries. This accounts for 8% of the world’s deaths and 1.7 times more than the number of fatalities that result of malaria, tuberculosis, and HIV/AIDS combined. Falls are prominent among the external causes of unintentional injuries. Osteoporosis related fracture increases dramatically in women 50 years or older as a result of both increased fragility of bones and the risk of falling. Worldwide, 1 in 3 women over age 50 will experience osteoporotic fractures.</w:t>
      </w:r>
    </w:p>
    <w:p w:rsidR="0044424A" w:rsidRPr="0044424A" w:rsidRDefault="0044424A" w:rsidP="0044424A">
      <w:pPr>
        <w:spacing w:before="240" w:after="0" w:line="240" w:lineRule="auto"/>
        <w:jc w:val="both"/>
        <w:rPr>
          <w:rFonts w:ascii="Sylfaen" w:eastAsia="Calibri" w:hAnsi="Sylfaen" w:cs="Times New Roman"/>
          <w:lang w:val="ka-GE" w:eastAsia="zh-CN"/>
        </w:rPr>
      </w:pPr>
      <w:r w:rsidRPr="0044424A">
        <w:rPr>
          <w:rFonts w:ascii="Sylfaen" w:eastAsia="Calibri" w:hAnsi="Sylfaen" w:cs="Times New Roman"/>
          <w:lang w:val="ka-GE" w:eastAsia="zh-CN"/>
        </w:rPr>
        <w:t>Aim: Investigation of the prevalence and epidemiological features of osteoporosis-related fractures among the Georgian female population with the aim of preventing mortality and developing preventative recommendations.</w:t>
      </w:r>
    </w:p>
    <w:p w:rsidR="0044424A" w:rsidRPr="0044424A" w:rsidRDefault="0044424A" w:rsidP="0044424A">
      <w:pPr>
        <w:spacing w:before="240" w:after="0" w:line="240" w:lineRule="auto"/>
        <w:jc w:val="both"/>
        <w:rPr>
          <w:rFonts w:ascii="Sylfaen" w:eastAsia="Calibri" w:hAnsi="Sylfaen" w:cs="Times New Roman"/>
          <w:lang w:val="ka-GE" w:eastAsia="zh-CN"/>
        </w:rPr>
      </w:pPr>
      <w:r w:rsidRPr="0044424A">
        <w:rPr>
          <w:rFonts w:ascii="Sylfaen" w:eastAsia="Calibri" w:hAnsi="Sylfaen" w:cs="Times New Roman"/>
          <w:lang w:val="ka-GE" w:eastAsia="zh-CN"/>
        </w:rPr>
        <w:t>Methods: An electronic version of the reporting form for patients hospitalized as a result of falls and fractures during 2018 was in Georgia discovered and studied at the National Center for Disease Control and Public Health. Statistical processing and descriptive analysis of the database were performed using the 7th version of the statistical package Epi-info 7. The main attention was paid to fractures of the hips, lower leg and vertebral.</w:t>
      </w:r>
    </w:p>
    <w:p w:rsidR="0044424A" w:rsidRPr="0044424A" w:rsidRDefault="0044424A" w:rsidP="0044424A">
      <w:pPr>
        <w:spacing w:before="240" w:after="0" w:line="240" w:lineRule="auto"/>
        <w:jc w:val="both"/>
        <w:rPr>
          <w:rFonts w:ascii="Sylfaen" w:eastAsia="Calibri" w:hAnsi="Sylfaen" w:cs="Times New Roman"/>
          <w:lang w:val="ka-GE" w:eastAsia="zh-CN"/>
        </w:rPr>
      </w:pPr>
      <w:r w:rsidRPr="0044424A">
        <w:rPr>
          <w:rFonts w:ascii="Sylfaen" w:eastAsia="Calibri" w:hAnsi="Sylfaen" w:cs="Times New Roman"/>
          <w:lang w:val="ka-GE" w:eastAsia="zh-CN"/>
        </w:rPr>
        <w:lastRenderedPageBreak/>
        <w:t>Results: Total 16291 patients were hospitalized due to fall in 2018. Men under the age of 65 are leading among patients affected by the fall and their rate reaches a maximum in the age 26-45 of years. In the 66-95 age range, the picture is changing and women have a significant advantage. Women over 65 are particularly vulnerable to femoral neck fractures. The men in all age groups are leading in fractures of various locations.</w:t>
      </w:r>
    </w:p>
    <w:p w:rsidR="0044424A" w:rsidRDefault="0044424A" w:rsidP="0044424A">
      <w:pPr>
        <w:spacing w:before="240" w:after="0" w:line="240" w:lineRule="auto"/>
        <w:jc w:val="both"/>
        <w:rPr>
          <w:rFonts w:ascii="Sylfaen" w:eastAsia="Calibri" w:hAnsi="Sylfaen" w:cs="Times New Roman"/>
          <w:lang w:val="ka-GE" w:eastAsia="zh-CN"/>
        </w:rPr>
      </w:pPr>
      <w:r w:rsidRPr="0044424A">
        <w:rPr>
          <w:rFonts w:ascii="Sylfaen" w:eastAsia="Calibri" w:hAnsi="Sylfaen" w:cs="Times New Roman"/>
          <w:lang w:val="ka-GE" w:eastAsia="zh-CN"/>
        </w:rPr>
        <w:t>Conclusion: The results of this study are consistent with international experience, which shows that fractures and especially femoral fractures in the age group 66-95 years are associated with osteoporosis. Women have a much higher risk of osteoporosis than men.</w:t>
      </w:r>
    </w:p>
    <w:p w:rsidR="0044424A" w:rsidRDefault="0044424A" w:rsidP="0065098A">
      <w:pPr>
        <w:spacing w:before="240" w:after="0" w:line="240" w:lineRule="auto"/>
        <w:jc w:val="both"/>
        <w:rPr>
          <w:rFonts w:ascii="Sylfaen" w:eastAsia="Calibri" w:hAnsi="Sylfaen" w:cs="Times New Roman"/>
          <w:lang w:val="ka-GE" w:eastAsia="zh-CN"/>
        </w:rPr>
      </w:pPr>
    </w:p>
    <w:p w:rsidR="00BF3ADA" w:rsidRDefault="00BF3ADA" w:rsidP="0065098A">
      <w:pPr>
        <w:spacing w:before="240" w:after="0" w:line="240" w:lineRule="auto"/>
        <w:jc w:val="both"/>
        <w:rPr>
          <w:rFonts w:ascii="Sylfaen" w:eastAsia="Calibri" w:hAnsi="Sylfaen" w:cs="Times New Roman"/>
          <w:lang w:val="ka-GE" w:eastAsia="zh-CN"/>
        </w:rPr>
      </w:pPr>
    </w:p>
    <w:p w:rsidR="00BF3ADA" w:rsidRDefault="00BF3ADA" w:rsidP="0065098A">
      <w:pPr>
        <w:spacing w:before="240" w:after="0" w:line="240" w:lineRule="auto"/>
        <w:jc w:val="both"/>
        <w:rPr>
          <w:rFonts w:ascii="Sylfaen" w:eastAsia="Calibri" w:hAnsi="Sylfaen" w:cs="Times New Roman"/>
          <w:lang w:val="ka-GE" w:eastAsia="zh-CN"/>
        </w:rPr>
      </w:pPr>
    </w:p>
    <w:p w:rsidR="00BF3ADA" w:rsidRDefault="00BF3ADA" w:rsidP="0065098A">
      <w:pPr>
        <w:spacing w:before="240" w:after="0" w:line="240" w:lineRule="auto"/>
        <w:jc w:val="both"/>
        <w:rPr>
          <w:rFonts w:ascii="Sylfaen" w:eastAsia="Calibri" w:hAnsi="Sylfaen" w:cs="Times New Roman"/>
          <w:lang w:val="ka-GE" w:eastAsia="zh-CN"/>
        </w:rPr>
      </w:pPr>
      <w:r>
        <w:rPr>
          <w:rFonts w:ascii="Sylfaen" w:eastAsia="Calibri" w:hAnsi="Sylfaen" w:cs="Times New Roman"/>
          <w:lang w:val="ka-GE" w:eastAsia="zh-CN"/>
        </w:rPr>
        <w:t>მასალა ეპიდ ბიულეტენისთვის მოამზადა არაგადამდებ დაავადებათა დეპარტამენტის, ქრონიკულ დაავადებატა სამმართველოს მთავარმა სპეციალისტმა: თამარ ჩაჩავამ</w:t>
      </w:r>
    </w:p>
    <w:p w:rsidR="00BF3ADA" w:rsidRDefault="00BF3ADA" w:rsidP="0065098A">
      <w:pPr>
        <w:spacing w:before="240" w:after="0" w:line="240" w:lineRule="auto"/>
        <w:jc w:val="both"/>
        <w:rPr>
          <w:rFonts w:ascii="Sylfaen" w:eastAsia="Calibri" w:hAnsi="Sylfaen" w:cs="Times New Roman"/>
          <w:lang w:val="ka-GE" w:eastAsia="zh-CN"/>
        </w:rPr>
      </w:pPr>
    </w:p>
    <w:p w:rsidR="00BF3ADA" w:rsidRDefault="00BF3ADA" w:rsidP="0065098A">
      <w:pPr>
        <w:spacing w:before="240" w:after="0" w:line="240" w:lineRule="auto"/>
        <w:jc w:val="both"/>
        <w:rPr>
          <w:rFonts w:ascii="Sylfaen" w:eastAsia="Calibri" w:hAnsi="Sylfaen" w:cs="Times New Roman"/>
          <w:lang w:val="ka-GE" w:eastAsia="zh-CN"/>
        </w:rPr>
      </w:pPr>
    </w:p>
    <w:p w:rsidR="00BF3ADA" w:rsidRDefault="00BF3ADA" w:rsidP="0065098A">
      <w:pPr>
        <w:spacing w:before="240" w:after="0" w:line="240" w:lineRule="auto"/>
        <w:jc w:val="both"/>
        <w:rPr>
          <w:rFonts w:ascii="Sylfaen" w:eastAsia="Calibri" w:hAnsi="Sylfaen" w:cs="Times New Roman"/>
          <w:lang w:val="ka-GE" w:eastAsia="zh-CN"/>
        </w:rPr>
      </w:pPr>
    </w:p>
    <w:p w:rsidR="00BF3ADA" w:rsidRDefault="00BF3ADA" w:rsidP="0065098A">
      <w:pPr>
        <w:spacing w:before="240" w:after="0" w:line="240" w:lineRule="auto"/>
        <w:jc w:val="both"/>
        <w:rPr>
          <w:rFonts w:ascii="Sylfaen" w:eastAsia="Calibri" w:hAnsi="Sylfaen" w:cs="Times New Roman"/>
          <w:lang w:val="ka-GE" w:eastAsia="zh-CN"/>
        </w:rPr>
      </w:pPr>
    </w:p>
    <w:p w:rsidR="003A07B9" w:rsidRDefault="003A07B9" w:rsidP="0065098A">
      <w:pPr>
        <w:spacing w:before="240" w:after="0" w:line="240" w:lineRule="auto"/>
        <w:jc w:val="both"/>
        <w:rPr>
          <w:rFonts w:ascii="Sylfaen" w:eastAsia="Calibri" w:hAnsi="Sylfaen" w:cs="Times New Roman"/>
          <w:lang w:val="ka-GE" w:eastAsia="zh-CN"/>
        </w:rPr>
      </w:pPr>
    </w:p>
    <w:p w:rsidR="003A07B9" w:rsidRDefault="003A07B9" w:rsidP="0065098A">
      <w:pPr>
        <w:spacing w:before="240" w:after="0" w:line="240" w:lineRule="auto"/>
        <w:jc w:val="both"/>
        <w:rPr>
          <w:rFonts w:ascii="Sylfaen" w:eastAsia="Calibri" w:hAnsi="Sylfaen" w:cs="Times New Roman"/>
          <w:lang w:val="ka-GE" w:eastAsia="zh-CN"/>
        </w:rPr>
      </w:pPr>
    </w:p>
    <w:p w:rsidR="003A07B9" w:rsidRDefault="003A07B9" w:rsidP="0065098A">
      <w:pPr>
        <w:spacing w:before="240" w:after="0" w:line="240" w:lineRule="auto"/>
        <w:jc w:val="both"/>
        <w:rPr>
          <w:rFonts w:ascii="Sylfaen" w:eastAsia="Calibri" w:hAnsi="Sylfaen" w:cs="Times New Roman"/>
          <w:lang w:val="ka-GE" w:eastAsia="zh-CN"/>
        </w:rPr>
      </w:pPr>
    </w:p>
    <w:p w:rsidR="003A07B9" w:rsidRDefault="003A07B9" w:rsidP="0065098A">
      <w:pPr>
        <w:spacing w:before="240" w:after="0" w:line="240" w:lineRule="auto"/>
        <w:jc w:val="both"/>
        <w:rPr>
          <w:rFonts w:ascii="Sylfaen" w:eastAsia="Calibri" w:hAnsi="Sylfaen" w:cs="Times New Roman"/>
          <w:lang w:val="ka-GE" w:eastAsia="zh-CN"/>
        </w:rPr>
      </w:pPr>
    </w:p>
    <w:p w:rsidR="003A07B9" w:rsidRDefault="003A07B9" w:rsidP="0065098A">
      <w:pPr>
        <w:spacing w:before="240" w:after="0" w:line="240" w:lineRule="auto"/>
        <w:jc w:val="both"/>
        <w:rPr>
          <w:rFonts w:ascii="Sylfaen" w:eastAsia="Calibri" w:hAnsi="Sylfaen" w:cs="Times New Roman"/>
          <w:lang w:val="ka-GE" w:eastAsia="zh-CN"/>
        </w:rPr>
      </w:pPr>
    </w:p>
    <w:p w:rsidR="003A07B9" w:rsidRDefault="003A07B9" w:rsidP="0065098A">
      <w:pPr>
        <w:spacing w:before="240" w:after="0" w:line="240" w:lineRule="auto"/>
        <w:jc w:val="both"/>
        <w:rPr>
          <w:rFonts w:ascii="Sylfaen" w:eastAsia="Calibri" w:hAnsi="Sylfaen" w:cs="Times New Roman"/>
          <w:lang w:val="ka-GE" w:eastAsia="zh-CN"/>
        </w:rPr>
      </w:pPr>
    </w:p>
    <w:p w:rsidR="003A07B9" w:rsidRDefault="003A07B9" w:rsidP="0065098A">
      <w:pPr>
        <w:spacing w:before="240" w:after="0" w:line="240" w:lineRule="auto"/>
        <w:jc w:val="both"/>
        <w:rPr>
          <w:rFonts w:ascii="Sylfaen" w:eastAsia="Calibri" w:hAnsi="Sylfaen" w:cs="Times New Roman"/>
          <w:lang w:val="ka-GE" w:eastAsia="zh-CN"/>
        </w:rPr>
      </w:pPr>
    </w:p>
    <w:p w:rsidR="003A07B9" w:rsidRDefault="003A07B9" w:rsidP="0065098A">
      <w:pPr>
        <w:spacing w:before="240" w:after="0" w:line="240" w:lineRule="auto"/>
        <w:jc w:val="both"/>
        <w:rPr>
          <w:rFonts w:ascii="Sylfaen" w:eastAsia="Calibri" w:hAnsi="Sylfaen" w:cs="Times New Roman"/>
          <w:lang w:val="ka-GE" w:eastAsia="zh-CN"/>
        </w:rPr>
      </w:pPr>
    </w:p>
    <w:p w:rsidR="003A07B9" w:rsidRDefault="003A07B9" w:rsidP="0065098A">
      <w:pPr>
        <w:spacing w:before="240" w:after="0" w:line="240" w:lineRule="auto"/>
        <w:jc w:val="both"/>
        <w:rPr>
          <w:rFonts w:ascii="Sylfaen" w:eastAsia="Calibri" w:hAnsi="Sylfaen" w:cs="Times New Roman"/>
          <w:lang w:val="ka-GE" w:eastAsia="zh-CN"/>
        </w:rPr>
      </w:pPr>
    </w:p>
    <w:p w:rsidR="003A07B9" w:rsidRDefault="003A07B9" w:rsidP="0065098A">
      <w:pPr>
        <w:spacing w:before="240" w:after="0" w:line="240" w:lineRule="auto"/>
        <w:jc w:val="both"/>
        <w:rPr>
          <w:rFonts w:ascii="Sylfaen" w:eastAsia="Calibri" w:hAnsi="Sylfaen" w:cs="Times New Roman"/>
          <w:lang w:val="ka-GE" w:eastAsia="zh-CN"/>
        </w:rPr>
      </w:pPr>
    </w:p>
    <w:p w:rsidR="003A07B9" w:rsidRDefault="003A07B9" w:rsidP="0065098A">
      <w:pPr>
        <w:spacing w:before="240" w:after="0" w:line="240" w:lineRule="auto"/>
        <w:jc w:val="both"/>
        <w:rPr>
          <w:rFonts w:ascii="Sylfaen" w:eastAsia="Calibri" w:hAnsi="Sylfaen" w:cs="Times New Roman"/>
          <w:lang w:val="ka-GE" w:eastAsia="zh-CN"/>
        </w:rPr>
      </w:pPr>
    </w:p>
    <w:p w:rsidR="00BF3ADA" w:rsidRDefault="00BF3ADA" w:rsidP="00BF3ADA">
      <w:pPr>
        <w:spacing w:after="120" w:line="360" w:lineRule="auto"/>
        <w:jc w:val="center"/>
        <w:rPr>
          <w:rFonts w:ascii="Sylfaen" w:hAnsi="Sylfaen" w:cs="Sylfaen"/>
          <w:b/>
          <w:sz w:val="24"/>
          <w:szCs w:val="24"/>
          <w:lang w:val="ka-GE"/>
        </w:rPr>
      </w:pPr>
    </w:p>
    <w:p w:rsidR="00BF3ADA" w:rsidRPr="004A1630" w:rsidRDefault="00BF3ADA" w:rsidP="00BF3ADA">
      <w:pPr>
        <w:ind w:right="276" w:firstLine="720"/>
        <w:jc w:val="both"/>
        <w:rPr>
          <w:rFonts w:ascii="AcadNusx" w:eastAsia="Calibri" w:hAnsi="AcadNusx"/>
          <w:b/>
          <w:i/>
          <w:lang w:val="ka-GE"/>
        </w:rPr>
      </w:pPr>
      <w:r w:rsidRPr="004A1630">
        <w:rPr>
          <w:rFonts w:ascii="AcadNusx" w:eastAsia="Calibri" w:hAnsi="AcadNusx"/>
          <w:bCs/>
          <w:i/>
          <w:lang w:val="ka-GE"/>
        </w:rPr>
        <w:t>epidemiologiuri biuleteni~ warmoadgens saqarTvelos Sromis, janmrTelobis da socialuri dacvis saministros daavadebaTa kontrolisa da sazogadoebrivi janmrTelobis erovnuli centris publikacias</w:t>
      </w:r>
      <w:r w:rsidRPr="004A1630">
        <w:rPr>
          <w:rFonts w:ascii="AcadNusx" w:eastAsia="Calibri" w:hAnsi="AcadNusx"/>
          <w:b/>
          <w:i/>
          <w:lang w:val="ka-GE"/>
        </w:rPr>
        <w:t>.</w:t>
      </w:r>
    </w:p>
    <w:p w:rsidR="00BF3ADA" w:rsidRPr="004A1630" w:rsidRDefault="00BF3ADA" w:rsidP="00BF3ADA">
      <w:pPr>
        <w:ind w:right="276" w:firstLine="720"/>
        <w:jc w:val="both"/>
        <w:rPr>
          <w:rFonts w:ascii="AcadNusx" w:eastAsia="Calibri" w:hAnsi="AcadNusx"/>
          <w:i/>
          <w:lang w:val="ka-GE"/>
        </w:rPr>
      </w:pPr>
      <w:r w:rsidRPr="004A1630">
        <w:rPr>
          <w:rFonts w:ascii="AcadNusx" w:eastAsia="Calibri" w:hAnsi="AcadNusx"/>
          <w:i/>
          <w:lang w:val="ka-GE"/>
        </w:rPr>
        <w:t xml:space="preserve">biuletenSi gamoqveynebuli monacemebi emyareba daavadebaTa kontrolis da </w:t>
      </w:r>
      <w:r w:rsidRPr="004A1630">
        <w:rPr>
          <w:rFonts w:ascii="AcadNusx" w:eastAsia="Calibri" w:hAnsi="AcadNusx"/>
          <w:bCs/>
          <w:i/>
          <w:lang w:val="ka-GE"/>
        </w:rPr>
        <w:t xml:space="preserve">sazogadoebrivi janmrTelobis </w:t>
      </w:r>
      <w:r w:rsidRPr="004A1630">
        <w:rPr>
          <w:rFonts w:ascii="AcadNusx" w:eastAsia="Calibri" w:hAnsi="AcadNusx"/>
          <w:i/>
          <w:lang w:val="ka-GE"/>
        </w:rPr>
        <w:t xml:space="preserve">erovnuli centris xelT arsebul masalebs. gamocemasTan dakavSirebul sakiTxebze, biuletenSi masalis gamoqveynebis CaTvliT, mimarTeT `epidemiologiuri biuletenis~ redaqcias misamarTze: Tbilisi, </w:t>
      </w:r>
      <w:r>
        <w:rPr>
          <w:rFonts w:ascii="Sylfaen" w:eastAsia="Calibri" w:hAnsi="Sylfaen"/>
          <w:i/>
          <w:lang w:val="ka-GE"/>
        </w:rPr>
        <w:t>კახეთის გზატკეცილი 9</w:t>
      </w:r>
      <w:r w:rsidRPr="004A1630">
        <w:rPr>
          <w:rFonts w:ascii="AcadNusx" w:eastAsia="Calibri" w:hAnsi="AcadNusx"/>
          <w:i/>
          <w:lang w:val="ka-GE"/>
        </w:rPr>
        <w:t>9, daavadebaTa kontrolis da sazogadoebrivi janmrTelobis erovnuli centri. `epidemiologiuri biuleteni~ warmoadgens sazogadoebriv sakuTrebas. gamoyenebuli masalebiT sargeblobisa da maTi reproduqciisTvis specialuri nebarTva saWiro ar aris, magram sasurvelia monacemebis wyaros moxsenieba.</w:t>
      </w:r>
    </w:p>
    <w:p w:rsidR="00BF3ADA" w:rsidRPr="004A1630" w:rsidRDefault="00BF3ADA" w:rsidP="00BF3ADA">
      <w:pPr>
        <w:spacing w:after="120" w:line="240" w:lineRule="auto"/>
        <w:ind w:firstLine="720"/>
        <w:jc w:val="both"/>
        <w:rPr>
          <w:rFonts w:ascii="AcadNusx" w:hAnsi="AcadNusx"/>
          <w:noProof/>
          <w:sz w:val="24"/>
          <w:szCs w:val="24"/>
          <w:lang w:val="ka-GE"/>
        </w:rPr>
      </w:pPr>
      <w:r w:rsidRPr="004A1630">
        <w:rPr>
          <w:rFonts w:ascii="AcadNusx" w:hAnsi="AcadNusx"/>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173355</wp:posOffset>
                </wp:positionV>
                <wp:extent cx="4996815" cy="0"/>
                <wp:effectExtent l="22860" t="14605" r="1905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6815"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12256"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65pt" to="397.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" strokeweight="2.25pt">
                <v:stroke dashstyle="1 1" endcap="round"/>
              </v:line>
            </w:pict>
          </mc:Fallback>
        </mc:AlternateContent>
      </w:r>
    </w:p>
    <w:p w:rsidR="00BF3ADA" w:rsidRPr="004A1630" w:rsidRDefault="00BF3ADA" w:rsidP="00BF3ADA">
      <w:pPr>
        <w:spacing w:after="120" w:line="240" w:lineRule="auto"/>
        <w:ind w:left="1440" w:firstLine="720"/>
        <w:jc w:val="both"/>
        <w:rPr>
          <w:rFonts w:ascii="AcadNusx" w:hAnsi="AcadNusx"/>
          <w:noProof/>
          <w:sz w:val="24"/>
          <w:szCs w:val="24"/>
          <w:lang w:val="it-IT"/>
        </w:rPr>
      </w:pPr>
    </w:p>
    <w:p w:rsidR="00BF3ADA" w:rsidRPr="004A1630" w:rsidRDefault="00BF3ADA" w:rsidP="00BF3ADA">
      <w:pPr>
        <w:spacing w:after="120" w:line="240" w:lineRule="auto"/>
        <w:ind w:left="1440" w:firstLine="720"/>
        <w:jc w:val="both"/>
        <w:rPr>
          <w:rFonts w:ascii="AcadNusx" w:hAnsi="AcadNusx"/>
          <w:b/>
          <w:noProof/>
          <w:sz w:val="24"/>
          <w:szCs w:val="24"/>
          <w:lang w:val="it-IT"/>
        </w:rPr>
      </w:pPr>
      <w:r w:rsidRPr="004A1630">
        <w:rPr>
          <w:rFonts w:ascii="AcadNusx" w:hAnsi="AcadNusx"/>
          <w:b/>
          <w:noProof/>
          <w:sz w:val="24"/>
          <w:szCs w:val="24"/>
          <w:lang w:val="it-IT"/>
        </w:rPr>
        <w:t>saredaqcio kolegia:</w:t>
      </w:r>
    </w:p>
    <w:p w:rsidR="00BF3ADA" w:rsidRPr="004A1630" w:rsidRDefault="00BF3ADA" w:rsidP="00BF3ADA">
      <w:pPr>
        <w:spacing w:after="120" w:line="240" w:lineRule="auto"/>
        <w:ind w:left="1440" w:firstLine="720"/>
        <w:jc w:val="both"/>
        <w:rPr>
          <w:rFonts w:ascii="AcadNusx" w:hAnsi="AcadNusx"/>
          <w:bCs/>
          <w:noProof/>
          <w:sz w:val="24"/>
          <w:szCs w:val="24"/>
          <w:lang w:val="it-IT"/>
        </w:rPr>
      </w:pPr>
      <w:r w:rsidRPr="004A1630">
        <w:rPr>
          <w:rFonts w:ascii="AcadNusx" w:hAnsi="AcadNusx"/>
          <w:bCs/>
          <w:noProof/>
          <w:sz w:val="24"/>
          <w:szCs w:val="24"/>
          <w:lang w:val="it-IT"/>
        </w:rPr>
        <w:t xml:space="preserve">i. zedgeniZe - menejer-redaqtori </w:t>
      </w:r>
    </w:p>
    <w:p w:rsidR="00BF3ADA" w:rsidRPr="004A1630" w:rsidRDefault="00BF3ADA" w:rsidP="00BF3ADA">
      <w:pPr>
        <w:spacing w:after="120" w:line="240" w:lineRule="auto"/>
        <w:ind w:left="1440" w:firstLine="720"/>
        <w:jc w:val="both"/>
        <w:rPr>
          <w:rFonts w:ascii="AcadNusx" w:hAnsi="AcadNusx"/>
          <w:bCs/>
          <w:noProof/>
          <w:sz w:val="24"/>
          <w:szCs w:val="24"/>
          <w:lang w:val="it-IT"/>
        </w:rPr>
      </w:pPr>
      <w:r w:rsidRPr="004A1630">
        <w:rPr>
          <w:rFonts w:ascii="AcadNusx" w:hAnsi="AcadNusx"/>
          <w:bCs/>
          <w:noProof/>
          <w:sz w:val="24"/>
          <w:szCs w:val="24"/>
          <w:lang w:val="it-IT"/>
        </w:rPr>
        <w:t xml:space="preserve">g. kacitaZe - redaqtori </w:t>
      </w:r>
    </w:p>
    <w:p w:rsidR="00BF3ADA" w:rsidRPr="004A1630" w:rsidRDefault="00BF3ADA" w:rsidP="00BF3ADA">
      <w:pPr>
        <w:spacing w:after="120" w:line="240" w:lineRule="auto"/>
        <w:ind w:left="1440" w:firstLine="720"/>
        <w:jc w:val="both"/>
        <w:rPr>
          <w:rFonts w:ascii="AcadNusx" w:hAnsi="AcadNusx"/>
          <w:bCs/>
          <w:noProof/>
          <w:sz w:val="24"/>
          <w:szCs w:val="24"/>
          <w:lang w:val="it-IT"/>
        </w:rPr>
      </w:pPr>
      <w:r w:rsidRPr="004A1630">
        <w:rPr>
          <w:rFonts w:ascii="AcadNusx" w:hAnsi="AcadNusx"/>
          <w:bCs/>
          <w:noProof/>
          <w:sz w:val="24"/>
          <w:szCs w:val="24"/>
          <w:lang w:val="it-IT"/>
        </w:rPr>
        <w:t>p. imnaZe</w:t>
      </w:r>
    </w:p>
    <w:p w:rsidR="00BF3ADA" w:rsidRPr="004A1630" w:rsidRDefault="00BF3ADA" w:rsidP="00BF3ADA">
      <w:pPr>
        <w:spacing w:after="120" w:line="240" w:lineRule="auto"/>
        <w:ind w:left="1440" w:firstLine="720"/>
        <w:jc w:val="both"/>
        <w:rPr>
          <w:rFonts w:ascii="AcadNusx" w:hAnsi="AcadNusx"/>
          <w:bCs/>
          <w:noProof/>
          <w:sz w:val="24"/>
          <w:szCs w:val="24"/>
          <w:lang w:val="it-IT"/>
        </w:rPr>
      </w:pPr>
      <w:r w:rsidRPr="004A1630">
        <w:rPr>
          <w:rFonts w:ascii="AcadNusx" w:hAnsi="AcadNusx"/>
          <w:bCs/>
          <w:noProof/>
          <w:sz w:val="24"/>
          <w:szCs w:val="24"/>
          <w:lang w:val="it-IT"/>
        </w:rPr>
        <w:t>l. sturua</w:t>
      </w:r>
    </w:p>
    <w:p w:rsidR="00BF3ADA" w:rsidRPr="004A1630" w:rsidRDefault="00BF3ADA" w:rsidP="00BF3ADA">
      <w:pPr>
        <w:spacing w:after="120" w:line="240" w:lineRule="auto"/>
        <w:ind w:left="1440" w:firstLine="720"/>
        <w:jc w:val="both"/>
        <w:rPr>
          <w:rFonts w:ascii="AcadNusx" w:hAnsi="AcadNusx"/>
          <w:bCs/>
          <w:noProof/>
          <w:sz w:val="24"/>
          <w:szCs w:val="24"/>
          <w:lang w:val="it-IT"/>
        </w:rPr>
      </w:pPr>
      <w:r w:rsidRPr="004A1630">
        <w:rPr>
          <w:rFonts w:ascii="AcadNusx" w:hAnsi="AcadNusx"/>
          <w:bCs/>
          <w:noProof/>
          <w:sz w:val="24"/>
          <w:szCs w:val="24"/>
          <w:lang w:val="it-IT"/>
        </w:rPr>
        <w:t>x. zaxaSvili</w:t>
      </w:r>
    </w:p>
    <w:p w:rsidR="00BF3ADA" w:rsidRPr="004A1630" w:rsidRDefault="00BF3ADA" w:rsidP="00BF3ADA">
      <w:pPr>
        <w:spacing w:after="120" w:line="240" w:lineRule="auto"/>
        <w:ind w:left="1440" w:firstLine="720"/>
        <w:jc w:val="both"/>
        <w:rPr>
          <w:rFonts w:ascii="AcadNusx" w:hAnsi="AcadNusx"/>
          <w:bCs/>
          <w:noProof/>
          <w:sz w:val="24"/>
          <w:szCs w:val="24"/>
          <w:lang w:val="it-IT"/>
        </w:rPr>
      </w:pPr>
      <w:r w:rsidRPr="004A1630">
        <w:rPr>
          <w:rFonts w:ascii="AcadNusx" w:hAnsi="AcadNusx"/>
          <w:bCs/>
          <w:noProof/>
          <w:sz w:val="24"/>
          <w:szCs w:val="24"/>
          <w:lang w:val="it-IT"/>
        </w:rPr>
        <w:t>S. canava</w:t>
      </w:r>
    </w:p>
    <w:p w:rsidR="00BF3ADA" w:rsidRPr="004A1630" w:rsidRDefault="00BF3ADA" w:rsidP="00BF3ADA">
      <w:pPr>
        <w:spacing w:after="120" w:line="240" w:lineRule="auto"/>
        <w:ind w:left="1440" w:firstLine="720"/>
        <w:rPr>
          <w:rFonts w:ascii="Times New Roman" w:hAnsi="Times New Roman"/>
          <w:b/>
          <w:bCs/>
          <w:noProof/>
          <w:sz w:val="24"/>
          <w:szCs w:val="24"/>
          <w:lang w:val="en-GB"/>
        </w:rPr>
      </w:pPr>
    </w:p>
    <w:p w:rsidR="00BF3ADA" w:rsidRDefault="00BF3ADA" w:rsidP="0065098A">
      <w:pPr>
        <w:spacing w:before="240" w:after="0" w:line="240" w:lineRule="auto"/>
        <w:jc w:val="both"/>
        <w:rPr>
          <w:rFonts w:ascii="Sylfaen" w:eastAsia="Calibri" w:hAnsi="Sylfaen" w:cs="Times New Roman"/>
          <w:lang w:val="ka-GE" w:eastAsia="zh-CN"/>
        </w:rPr>
      </w:pPr>
    </w:p>
    <w:p w:rsidR="00017815" w:rsidRDefault="00017815" w:rsidP="0065098A">
      <w:pPr>
        <w:spacing w:before="240" w:after="0" w:line="240" w:lineRule="auto"/>
        <w:jc w:val="both"/>
        <w:rPr>
          <w:rFonts w:ascii="Sylfaen" w:eastAsia="Calibri" w:hAnsi="Sylfaen" w:cs="Times New Roman"/>
          <w:lang w:val="ka-GE" w:eastAsia="zh-CN"/>
        </w:rPr>
      </w:pPr>
    </w:p>
    <w:p w:rsidR="00017815" w:rsidRDefault="00017815" w:rsidP="0065098A">
      <w:pPr>
        <w:spacing w:before="240" w:after="0" w:line="240" w:lineRule="auto"/>
        <w:jc w:val="both"/>
        <w:rPr>
          <w:rFonts w:ascii="Sylfaen" w:eastAsia="Calibri" w:hAnsi="Sylfaen" w:cs="Times New Roman"/>
          <w:lang w:val="ka-GE" w:eastAsia="zh-CN"/>
        </w:rPr>
      </w:pPr>
    </w:p>
    <w:p w:rsidR="00017815" w:rsidRDefault="00017815" w:rsidP="0065098A">
      <w:pPr>
        <w:spacing w:before="240" w:after="0" w:line="240" w:lineRule="auto"/>
        <w:jc w:val="both"/>
        <w:rPr>
          <w:rFonts w:ascii="Sylfaen" w:eastAsia="Calibri" w:hAnsi="Sylfaen" w:cs="Times New Roman"/>
          <w:lang w:val="ka-GE" w:eastAsia="zh-CN"/>
        </w:rPr>
      </w:pPr>
    </w:p>
    <w:p w:rsidR="00017815" w:rsidRDefault="00017815" w:rsidP="0065098A">
      <w:pPr>
        <w:spacing w:before="240" w:after="0" w:line="240" w:lineRule="auto"/>
        <w:jc w:val="both"/>
        <w:rPr>
          <w:rFonts w:ascii="Sylfaen" w:eastAsia="Calibri" w:hAnsi="Sylfaen" w:cs="Times New Roman"/>
          <w:lang w:val="ka-GE" w:eastAsia="zh-CN"/>
        </w:rPr>
      </w:pPr>
    </w:p>
    <w:p w:rsidR="00017815" w:rsidRDefault="00017815" w:rsidP="0065098A">
      <w:pPr>
        <w:spacing w:before="240" w:after="0" w:line="240" w:lineRule="auto"/>
        <w:jc w:val="both"/>
        <w:rPr>
          <w:rFonts w:ascii="Sylfaen" w:eastAsia="Calibri" w:hAnsi="Sylfaen" w:cs="Times New Roman"/>
          <w:lang w:val="ka-GE" w:eastAsia="zh-CN"/>
        </w:rPr>
      </w:pPr>
    </w:p>
    <w:p w:rsidR="00017815" w:rsidRDefault="00017815" w:rsidP="0065098A">
      <w:pPr>
        <w:spacing w:before="240" w:after="0" w:line="240" w:lineRule="auto"/>
        <w:jc w:val="both"/>
        <w:rPr>
          <w:rFonts w:ascii="Sylfaen" w:eastAsia="Calibri" w:hAnsi="Sylfaen" w:cs="Times New Roman"/>
          <w:lang w:val="ka-GE" w:eastAsia="zh-CN"/>
        </w:rPr>
      </w:pPr>
    </w:p>
    <w:p w:rsidR="00017815" w:rsidRDefault="00017815" w:rsidP="0065098A">
      <w:pPr>
        <w:spacing w:before="240" w:after="0" w:line="240" w:lineRule="auto"/>
        <w:jc w:val="both"/>
        <w:rPr>
          <w:rFonts w:ascii="Sylfaen" w:eastAsia="Calibri" w:hAnsi="Sylfaen" w:cs="Times New Roman"/>
          <w:lang w:val="ka-GE" w:eastAsia="zh-CN"/>
        </w:rPr>
      </w:pPr>
    </w:p>
    <w:p w:rsidR="00017815" w:rsidRDefault="00017815" w:rsidP="0065098A">
      <w:pPr>
        <w:spacing w:before="240" w:after="0" w:line="240" w:lineRule="auto"/>
        <w:jc w:val="both"/>
        <w:rPr>
          <w:rFonts w:ascii="Sylfaen" w:eastAsia="Calibri" w:hAnsi="Sylfaen" w:cs="Times New Roman"/>
          <w:lang w:val="ka-GE" w:eastAsia="zh-CN"/>
        </w:rPr>
      </w:pPr>
    </w:p>
    <w:p w:rsidR="00017815" w:rsidRDefault="00017815" w:rsidP="00017815">
      <w:pPr>
        <w:spacing w:after="120" w:line="360" w:lineRule="auto"/>
        <w:jc w:val="both"/>
        <w:rPr>
          <w:rFonts w:ascii="Sylfaen" w:hAnsi="Sylfaen"/>
          <w:sz w:val="24"/>
          <w:szCs w:val="24"/>
          <w:lang w:val="ka-GE"/>
        </w:rPr>
      </w:pPr>
    </w:p>
    <w:p w:rsidR="00017815" w:rsidRPr="004A1630" w:rsidRDefault="00017815" w:rsidP="00017815">
      <w:pPr>
        <w:spacing w:after="0" w:line="240" w:lineRule="auto"/>
        <w:ind w:right="126"/>
        <w:jc w:val="center"/>
        <w:rPr>
          <w:rFonts w:ascii="Elephant" w:eastAsia="Elephant" w:hAnsi="Elephant" w:cs="Elephant"/>
          <w:sz w:val="36"/>
          <w:szCs w:val="36"/>
          <w:lang w:val="ka-GE"/>
        </w:rPr>
      </w:pPr>
      <w:r w:rsidRPr="004A1630">
        <w:rPr>
          <w:rFonts w:ascii="Arial" w:eastAsia="Elephant" w:hAnsi="Arial" w:cs="Arial"/>
          <w:sz w:val="36"/>
          <w:szCs w:val="36"/>
          <w:lang w:val="ka-GE"/>
        </w:rPr>
        <w:t>Epide</w:t>
      </w:r>
      <w:r w:rsidRPr="004A1630">
        <w:rPr>
          <w:rFonts w:ascii="Arial" w:eastAsia="Elephant" w:hAnsi="Arial" w:cs="Arial"/>
          <w:spacing w:val="1"/>
          <w:sz w:val="36"/>
          <w:szCs w:val="36"/>
          <w:lang w:val="ka-GE"/>
        </w:rPr>
        <w:t>m</w:t>
      </w:r>
      <w:r w:rsidRPr="004A1630">
        <w:rPr>
          <w:rFonts w:ascii="Arial" w:eastAsia="Elephant" w:hAnsi="Arial" w:cs="Arial"/>
          <w:sz w:val="36"/>
          <w:szCs w:val="36"/>
          <w:lang w:val="ka-GE"/>
        </w:rPr>
        <w:t>io</w:t>
      </w:r>
      <w:r w:rsidRPr="004A1630">
        <w:rPr>
          <w:rFonts w:ascii="Arial" w:eastAsia="Elephant" w:hAnsi="Arial" w:cs="Arial"/>
          <w:spacing w:val="2"/>
          <w:sz w:val="36"/>
          <w:szCs w:val="36"/>
          <w:lang w:val="ka-GE"/>
        </w:rPr>
        <w:t>l</w:t>
      </w:r>
      <w:r w:rsidRPr="004A1630">
        <w:rPr>
          <w:rFonts w:ascii="Arial" w:eastAsia="Elephant" w:hAnsi="Arial" w:cs="Arial"/>
          <w:sz w:val="36"/>
          <w:szCs w:val="36"/>
          <w:lang w:val="ka-GE"/>
        </w:rPr>
        <w:t>ogy</w:t>
      </w:r>
      <w:r w:rsidRPr="004A1630">
        <w:rPr>
          <w:rFonts w:ascii="Arial" w:eastAsia="Elephant" w:hAnsi="Arial" w:cs="Arial"/>
          <w:spacing w:val="-15"/>
          <w:sz w:val="36"/>
          <w:szCs w:val="36"/>
          <w:lang w:val="ka-GE"/>
        </w:rPr>
        <w:t xml:space="preserve"> </w:t>
      </w:r>
      <w:r w:rsidRPr="004A1630">
        <w:rPr>
          <w:rFonts w:ascii="Arial" w:eastAsia="Elephant" w:hAnsi="Arial" w:cs="Arial"/>
          <w:spacing w:val="1"/>
          <w:w w:val="99"/>
          <w:sz w:val="36"/>
          <w:szCs w:val="36"/>
          <w:lang w:val="ka-GE"/>
        </w:rPr>
        <w:t>B</w:t>
      </w:r>
      <w:r w:rsidRPr="004A1630">
        <w:rPr>
          <w:rFonts w:ascii="Arial" w:eastAsia="Elephant" w:hAnsi="Arial" w:cs="Arial"/>
          <w:w w:val="99"/>
          <w:sz w:val="36"/>
          <w:szCs w:val="36"/>
          <w:lang w:val="ka-GE"/>
        </w:rPr>
        <w:t>ulletin</w:t>
      </w:r>
    </w:p>
    <w:p w:rsidR="00017815" w:rsidRPr="004A1630" w:rsidRDefault="00017815" w:rsidP="00017815">
      <w:pPr>
        <w:spacing w:after="0" w:line="240" w:lineRule="auto"/>
        <w:ind w:left="2710" w:right="2689"/>
        <w:jc w:val="center"/>
        <w:rPr>
          <w:rFonts w:ascii="Arial" w:eastAsia="Calibri" w:hAnsi="Arial" w:cs="Arial"/>
          <w:sz w:val="32"/>
          <w:szCs w:val="32"/>
          <w:lang w:val="ka-GE"/>
        </w:rPr>
      </w:pPr>
    </w:p>
    <w:p w:rsidR="00017815" w:rsidRPr="004A1630" w:rsidRDefault="00017815" w:rsidP="00017815">
      <w:pPr>
        <w:spacing w:after="0" w:line="240" w:lineRule="auto"/>
        <w:ind w:left="2710" w:right="2689"/>
        <w:jc w:val="center"/>
        <w:rPr>
          <w:rFonts w:ascii="Arial" w:eastAsia="Calibri" w:hAnsi="Arial" w:cs="Arial"/>
          <w:sz w:val="32"/>
          <w:szCs w:val="32"/>
          <w:lang w:val="ka-GE"/>
        </w:rPr>
      </w:pPr>
    </w:p>
    <w:p w:rsidR="00017815" w:rsidRPr="004A1630" w:rsidRDefault="00017815" w:rsidP="00017815">
      <w:pPr>
        <w:spacing w:after="0" w:line="240" w:lineRule="auto"/>
        <w:ind w:left="2710" w:right="2689"/>
        <w:jc w:val="center"/>
        <w:rPr>
          <w:rFonts w:ascii="Arial" w:eastAsia="Calibri" w:hAnsi="Arial" w:cs="Arial"/>
          <w:sz w:val="32"/>
          <w:szCs w:val="32"/>
          <w:lang w:val="ka-GE"/>
        </w:rPr>
      </w:pPr>
    </w:p>
    <w:p w:rsidR="00017815" w:rsidRPr="004A1630" w:rsidRDefault="00017815" w:rsidP="00017815">
      <w:pPr>
        <w:spacing w:after="0" w:line="240" w:lineRule="auto"/>
        <w:ind w:left="2710" w:right="2689"/>
        <w:jc w:val="center"/>
        <w:rPr>
          <w:rFonts w:ascii="Arial" w:eastAsia="Calibri" w:hAnsi="Arial" w:cs="Arial"/>
          <w:color w:val="003399"/>
          <w:sz w:val="28"/>
          <w:szCs w:val="28"/>
          <w:lang w:val="ka-GE"/>
        </w:rPr>
      </w:pPr>
      <w:r w:rsidRPr="004A1630">
        <w:rPr>
          <w:rFonts w:ascii="Arial" w:eastAsia="Calibri" w:hAnsi="Arial" w:cs="Arial"/>
          <w:color w:val="003399"/>
          <w:sz w:val="28"/>
          <w:szCs w:val="28"/>
          <w:lang w:val="ka-GE"/>
        </w:rPr>
        <w:t>National</w:t>
      </w:r>
      <w:r w:rsidRPr="004A1630">
        <w:rPr>
          <w:rFonts w:ascii="Arial" w:eastAsia="Calibri" w:hAnsi="Arial" w:cs="Arial"/>
          <w:color w:val="003399"/>
          <w:spacing w:val="-9"/>
          <w:sz w:val="28"/>
          <w:szCs w:val="28"/>
          <w:lang w:val="ka-GE"/>
        </w:rPr>
        <w:t xml:space="preserve"> </w:t>
      </w:r>
      <w:r w:rsidRPr="004A1630">
        <w:rPr>
          <w:rFonts w:ascii="Arial" w:eastAsia="Calibri" w:hAnsi="Arial" w:cs="Arial"/>
          <w:color w:val="003399"/>
          <w:sz w:val="28"/>
          <w:szCs w:val="28"/>
          <w:lang w:val="ka-GE"/>
        </w:rPr>
        <w:t>Center</w:t>
      </w:r>
      <w:r w:rsidRPr="004A1630">
        <w:rPr>
          <w:rFonts w:ascii="Arial" w:eastAsia="Calibri" w:hAnsi="Arial" w:cs="Arial"/>
          <w:color w:val="003399"/>
          <w:spacing w:val="-6"/>
          <w:sz w:val="28"/>
          <w:szCs w:val="28"/>
          <w:lang w:val="ka-GE"/>
        </w:rPr>
        <w:t xml:space="preserve"> </w:t>
      </w:r>
      <w:r w:rsidRPr="004A1630">
        <w:rPr>
          <w:rFonts w:ascii="Arial" w:eastAsia="Calibri" w:hAnsi="Arial" w:cs="Arial"/>
          <w:color w:val="003399"/>
          <w:sz w:val="28"/>
          <w:szCs w:val="28"/>
          <w:lang w:val="ka-GE"/>
        </w:rPr>
        <w:t>for</w:t>
      </w:r>
      <w:r w:rsidRPr="004A1630">
        <w:rPr>
          <w:rFonts w:ascii="Arial" w:eastAsia="Calibri" w:hAnsi="Arial" w:cs="Arial"/>
          <w:color w:val="003399"/>
          <w:spacing w:val="-3"/>
          <w:sz w:val="28"/>
          <w:szCs w:val="28"/>
          <w:lang w:val="ka-GE"/>
        </w:rPr>
        <w:t xml:space="preserve"> </w:t>
      </w:r>
      <w:r w:rsidRPr="004A1630">
        <w:rPr>
          <w:rFonts w:ascii="Arial" w:eastAsia="Calibri" w:hAnsi="Arial" w:cs="Arial"/>
          <w:color w:val="003399"/>
          <w:sz w:val="28"/>
          <w:szCs w:val="28"/>
          <w:lang w:val="ka-GE"/>
        </w:rPr>
        <w:t>Disease</w:t>
      </w:r>
      <w:r w:rsidRPr="004A1630">
        <w:rPr>
          <w:rFonts w:ascii="Arial" w:eastAsia="Calibri" w:hAnsi="Arial" w:cs="Arial"/>
          <w:color w:val="003399"/>
          <w:spacing w:val="-8"/>
          <w:sz w:val="28"/>
          <w:szCs w:val="28"/>
          <w:lang w:val="ka-GE"/>
        </w:rPr>
        <w:t xml:space="preserve"> </w:t>
      </w:r>
      <w:r w:rsidRPr="004A1630">
        <w:rPr>
          <w:rFonts w:ascii="Arial" w:eastAsia="Calibri" w:hAnsi="Arial" w:cs="Arial"/>
          <w:color w:val="003399"/>
          <w:sz w:val="28"/>
          <w:szCs w:val="28"/>
          <w:lang w:val="ka-GE"/>
        </w:rPr>
        <w:t>Control</w:t>
      </w:r>
      <w:r w:rsidRPr="004A1630">
        <w:rPr>
          <w:rFonts w:ascii="Arial" w:eastAsia="Calibri" w:hAnsi="Arial" w:cs="Arial"/>
          <w:color w:val="003399"/>
          <w:spacing w:val="-8"/>
          <w:sz w:val="28"/>
          <w:szCs w:val="28"/>
          <w:lang w:val="ka-GE"/>
        </w:rPr>
        <w:t xml:space="preserve"> </w:t>
      </w:r>
      <w:r w:rsidRPr="004A1630">
        <w:rPr>
          <w:rFonts w:ascii="Arial" w:eastAsia="Calibri" w:hAnsi="Arial" w:cs="Arial"/>
          <w:color w:val="003399"/>
          <w:sz w:val="28"/>
          <w:szCs w:val="28"/>
          <w:lang w:val="ka-GE"/>
        </w:rPr>
        <w:t>and</w:t>
      </w:r>
      <w:r w:rsidRPr="004A1630">
        <w:rPr>
          <w:rFonts w:ascii="Arial" w:eastAsia="Calibri" w:hAnsi="Arial" w:cs="Arial"/>
          <w:color w:val="003399"/>
          <w:spacing w:val="-1"/>
          <w:sz w:val="28"/>
          <w:szCs w:val="28"/>
          <w:lang w:val="ka-GE"/>
        </w:rPr>
        <w:t xml:space="preserve"> </w:t>
      </w:r>
      <w:r w:rsidRPr="004A1630">
        <w:rPr>
          <w:rFonts w:ascii="Arial" w:eastAsia="Calibri" w:hAnsi="Arial" w:cs="Arial"/>
          <w:color w:val="003399"/>
          <w:sz w:val="28"/>
          <w:szCs w:val="28"/>
          <w:lang w:val="ka-GE"/>
        </w:rPr>
        <w:t>Public</w:t>
      </w:r>
      <w:r w:rsidRPr="004A1630">
        <w:rPr>
          <w:rFonts w:ascii="Arial" w:eastAsia="Calibri" w:hAnsi="Arial" w:cs="Arial"/>
          <w:color w:val="003399"/>
          <w:spacing w:val="-5"/>
          <w:sz w:val="28"/>
          <w:szCs w:val="28"/>
          <w:lang w:val="ka-GE"/>
        </w:rPr>
        <w:t xml:space="preserve"> </w:t>
      </w:r>
      <w:r w:rsidRPr="004A1630">
        <w:rPr>
          <w:rFonts w:ascii="Arial" w:eastAsia="Calibri" w:hAnsi="Arial" w:cs="Arial"/>
          <w:color w:val="003399"/>
          <w:w w:val="99"/>
          <w:sz w:val="28"/>
          <w:szCs w:val="28"/>
          <w:lang w:val="ka-GE"/>
        </w:rPr>
        <w:t>Health</w:t>
      </w:r>
    </w:p>
    <w:p w:rsidR="00017815" w:rsidRPr="004A1630" w:rsidRDefault="00017815" w:rsidP="00017815">
      <w:pPr>
        <w:spacing w:after="0" w:line="240" w:lineRule="auto"/>
        <w:ind w:left="3480" w:right="3456"/>
        <w:jc w:val="center"/>
        <w:rPr>
          <w:rFonts w:ascii="Arial" w:hAnsi="Arial" w:cs="Arial"/>
          <w:sz w:val="28"/>
          <w:szCs w:val="28"/>
          <w:lang w:val="ka-GE"/>
        </w:rPr>
      </w:pPr>
    </w:p>
    <w:p w:rsidR="00017815" w:rsidRPr="004A1630" w:rsidRDefault="00017815" w:rsidP="00017815">
      <w:pPr>
        <w:spacing w:after="0" w:line="240" w:lineRule="auto"/>
        <w:ind w:left="3480" w:right="3456"/>
        <w:jc w:val="center"/>
        <w:rPr>
          <w:rFonts w:ascii="Arial" w:hAnsi="Arial" w:cs="Arial"/>
          <w:sz w:val="32"/>
          <w:szCs w:val="32"/>
          <w:lang w:val="ka-GE"/>
        </w:rPr>
      </w:pPr>
    </w:p>
    <w:p w:rsidR="00017815" w:rsidRPr="004A1630" w:rsidRDefault="00017815" w:rsidP="00017815">
      <w:pPr>
        <w:spacing w:after="0" w:line="240" w:lineRule="auto"/>
        <w:ind w:right="40"/>
        <w:jc w:val="center"/>
        <w:rPr>
          <w:rFonts w:ascii="Arial" w:eastAsia="Calibri" w:hAnsi="Arial" w:cs="Arial"/>
          <w:sz w:val="26"/>
          <w:szCs w:val="26"/>
        </w:rPr>
      </w:pPr>
      <w:r w:rsidRPr="004A1630">
        <w:rPr>
          <w:rFonts w:ascii="Arial" w:hAnsi="Arial" w:cs="Arial"/>
          <w:sz w:val="26"/>
          <w:szCs w:val="26"/>
        </w:rPr>
        <w:t xml:space="preserve">Ministry of </w:t>
      </w:r>
      <w:proofErr w:type="spellStart"/>
      <w:r w:rsidRPr="004A1630">
        <w:rPr>
          <w:rFonts w:ascii="Arial" w:hAnsi="Arial" w:cs="Arial"/>
          <w:sz w:val="26"/>
          <w:szCs w:val="26"/>
        </w:rPr>
        <w:t>Labour</w:t>
      </w:r>
      <w:proofErr w:type="spellEnd"/>
      <w:r w:rsidRPr="004A1630">
        <w:rPr>
          <w:rFonts w:ascii="Arial" w:hAnsi="Arial" w:cs="Arial"/>
          <w:sz w:val="26"/>
          <w:szCs w:val="26"/>
        </w:rPr>
        <w:t xml:space="preserve">, Health </w:t>
      </w:r>
    </w:p>
    <w:p w:rsidR="00017815" w:rsidRPr="004A1630" w:rsidRDefault="00017815" w:rsidP="00017815">
      <w:pPr>
        <w:spacing w:after="0" w:line="240" w:lineRule="auto"/>
        <w:ind w:right="40"/>
        <w:jc w:val="center"/>
        <w:rPr>
          <w:rFonts w:ascii="Arial" w:hAnsi="Arial" w:cs="Arial"/>
          <w:sz w:val="26"/>
          <w:szCs w:val="26"/>
        </w:rPr>
      </w:pPr>
      <w:r w:rsidRPr="004A1630">
        <w:rPr>
          <w:rFonts w:ascii="Arial" w:hAnsi="Arial" w:cs="Arial"/>
          <w:sz w:val="26"/>
          <w:szCs w:val="26"/>
        </w:rPr>
        <w:t xml:space="preserve">And </w:t>
      </w:r>
      <w:r w:rsidRPr="004A1630">
        <w:rPr>
          <w:rFonts w:ascii="Arial" w:eastAsia="Sylfaen" w:hAnsi="Arial" w:cs="Arial"/>
          <w:sz w:val="26"/>
          <w:szCs w:val="26"/>
        </w:rPr>
        <w:t xml:space="preserve">Social Affairs </w:t>
      </w:r>
      <w:r w:rsidRPr="004A1630">
        <w:rPr>
          <w:rFonts w:ascii="Arial" w:hAnsi="Arial" w:cs="Arial"/>
          <w:sz w:val="26"/>
          <w:szCs w:val="26"/>
        </w:rPr>
        <w:t>of Geo</w:t>
      </w:r>
      <w:r w:rsidRPr="004A1630">
        <w:rPr>
          <w:rFonts w:ascii="Arial" w:hAnsi="Arial" w:cs="Arial"/>
          <w:spacing w:val="-1"/>
          <w:sz w:val="26"/>
          <w:szCs w:val="26"/>
        </w:rPr>
        <w:t>r</w:t>
      </w:r>
      <w:r w:rsidRPr="004A1630">
        <w:rPr>
          <w:rFonts w:ascii="Arial" w:hAnsi="Arial" w:cs="Arial"/>
          <w:sz w:val="26"/>
          <w:szCs w:val="26"/>
        </w:rPr>
        <w:t>gia</w:t>
      </w:r>
    </w:p>
    <w:p w:rsidR="00017815" w:rsidRPr="004A1630" w:rsidRDefault="00017815" w:rsidP="00017815">
      <w:pPr>
        <w:spacing w:before="1" w:after="0" w:line="280" w:lineRule="exact"/>
        <w:rPr>
          <w:rFonts w:ascii="Arial" w:eastAsia="Calibri" w:hAnsi="Arial" w:cs="Arial"/>
          <w:b/>
          <w:sz w:val="28"/>
          <w:szCs w:val="28"/>
        </w:rPr>
      </w:pPr>
    </w:p>
    <w:p w:rsidR="00017815" w:rsidRPr="004A1630" w:rsidRDefault="00017815" w:rsidP="00017815">
      <w:pPr>
        <w:spacing w:before="1" w:after="0" w:line="280" w:lineRule="exact"/>
        <w:rPr>
          <w:rFonts w:ascii="Arial" w:eastAsia="Calibri" w:hAnsi="Arial" w:cs="Arial"/>
          <w:sz w:val="28"/>
          <w:szCs w:val="28"/>
        </w:rPr>
      </w:pPr>
    </w:p>
    <w:p w:rsidR="00017815" w:rsidRPr="004A1630" w:rsidRDefault="00017815" w:rsidP="00017815">
      <w:pPr>
        <w:shd w:val="clear" w:color="auto" w:fill="FFFFFF"/>
        <w:spacing w:after="150"/>
        <w:jc w:val="both"/>
        <w:rPr>
          <w:rFonts w:ascii="Sylfaen" w:hAnsi="Sylfaen" w:cs="Sylfaen"/>
          <w:sz w:val="24"/>
          <w:szCs w:val="24"/>
        </w:rPr>
      </w:pPr>
    </w:p>
    <w:p w:rsidR="00017815" w:rsidRPr="004A1630" w:rsidRDefault="00017815" w:rsidP="00017815">
      <w:pPr>
        <w:spacing w:after="0" w:line="240" w:lineRule="auto"/>
        <w:ind w:right="40"/>
        <w:jc w:val="center"/>
        <w:rPr>
          <w:rFonts w:ascii="Sylfaen" w:eastAsia="Calibri" w:hAnsi="Sylfaen" w:cs="Sylfaen"/>
        </w:rPr>
      </w:pPr>
      <w:r w:rsidRPr="004A1630">
        <w:rPr>
          <w:rFonts w:ascii="Sylfaen" w:eastAsia="Calibri" w:hAnsi="Sylfaen" w:cs="Sylfaen"/>
        </w:rPr>
        <w:t xml:space="preserve">  </w:t>
      </w:r>
    </w:p>
    <w:p w:rsidR="00017815" w:rsidRPr="004A1630" w:rsidRDefault="00017815" w:rsidP="00017815">
      <w:pPr>
        <w:spacing w:after="0" w:line="240" w:lineRule="auto"/>
        <w:ind w:right="40"/>
        <w:jc w:val="center"/>
        <w:rPr>
          <w:rFonts w:ascii="Sylfaen" w:eastAsia="Calibri" w:hAnsi="Sylfaen" w:cs="Sylfaen"/>
        </w:rPr>
      </w:pPr>
    </w:p>
    <w:p w:rsidR="00017815" w:rsidRPr="004A1630" w:rsidRDefault="00017815" w:rsidP="00017815">
      <w:pPr>
        <w:spacing w:after="0" w:line="240" w:lineRule="auto"/>
        <w:ind w:right="40"/>
        <w:jc w:val="center"/>
        <w:rPr>
          <w:rFonts w:ascii="Sylfaen" w:eastAsia="Calibri" w:hAnsi="Sylfaen" w:cs="Sylfaen"/>
        </w:rPr>
      </w:pPr>
    </w:p>
    <w:p w:rsidR="00017815" w:rsidRPr="00445952" w:rsidRDefault="00017815" w:rsidP="00017815">
      <w:pPr>
        <w:spacing w:after="0" w:line="240" w:lineRule="auto"/>
        <w:ind w:right="40"/>
        <w:jc w:val="center"/>
        <w:rPr>
          <w:rFonts w:ascii="Sylfaen" w:eastAsia="Calibri" w:hAnsi="Sylfaen" w:cs="Arial"/>
          <w:bCs/>
          <w:spacing w:val="1"/>
          <w:w w:val="99"/>
          <w:sz w:val="24"/>
          <w:szCs w:val="24"/>
          <w:lang w:val="ka-GE"/>
        </w:rPr>
      </w:pPr>
      <w:r>
        <w:rPr>
          <w:rFonts w:ascii="Arial" w:eastAsia="Calibri" w:hAnsi="Arial" w:cs="Arial"/>
          <w:bCs/>
        </w:rPr>
        <w:t>20</w:t>
      </w:r>
      <w:r w:rsidR="001F5C2E">
        <w:rPr>
          <w:rFonts w:ascii="Sylfaen" w:eastAsia="Calibri" w:hAnsi="Sylfaen" w:cs="Arial"/>
          <w:bCs/>
          <w:lang w:val="ka-GE"/>
        </w:rPr>
        <w:t>19</w:t>
      </w:r>
      <w:r w:rsidRPr="004A1630">
        <w:rPr>
          <w:rFonts w:ascii="Arial" w:eastAsia="Sylfaen" w:hAnsi="Arial" w:cs="Arial"/>
          <w:spacing w:val="1"/>
        </w:rPr>
        <w:t xml:space="preserve"> </w:t>
      </w:r>
      <w:r w:rsidRPr="004A1630">
        <w:rPr>
          <w:rFonts w:ascii="Arial" w:eastAsia="Calibri" w:hAnsi="Arial" w:cs="Arial"/>
          <w:bCs/>
        </w:rPr>
        <w:t xml:space="preserve">/ </w:t>
      </w:r>
      <w:proofErr w:type="gramStart"/>
      <w:r w:rsidRPr="004A1630">
        <w:rPr>
          <w:rFonts w:ascii="Arial" w:eastAsia="Calibri" w:hAnsi="Arial" w:cs="Arial"/>
          <w:bCs/>
        </w:rPr>
        <w:t>Vol.</w:t>
      </w:r>
      <w:r>
        <w:rPr>
          <w:rFonts w:ascii="Sylfaen" w:eastAsia="Calibri" w:hAnsi="Sylfaen" w:cs="Arial"/>
          <w:bCs/>
          <w:spacing w:val="-1"/>
          <w:lang w:val="ka-GE"/>
        </w:rPr>
        <w:t>23</w:t>
      </w:r>
      <w:r w:rsidRPr="004A1630">
        <w:rPr>
          <w:rFonts w:ascii="Arial" w:eastAsia="Sylfaen" w:hAnsi="Arial" w:cs="Arial"/>
          <w:spacing w:val="-7"/>
        </w:rPr>
        <w:t xml:space="preserve"> </w:t>
      </w:r>
      <w:r w:rsidR="00FC0404">
        <w:rPr>
          <w:rFonts w:eastAsia="Sylfaen" w:cs="Arial"/>
          <w:spacing w:val="-7"/>
          <w:lang w:val="ka-GE"/>
        </w:rPr>
        <w:t xml:space="preserve"> </w:t>
      </w:r>
      <w:bookmarkStart w:id="1" w:name="_GoBack"/>
      <w:bookmarkEnd w:id="1"/>
      <w:r w:rsidRPr="004A1630">
        <w:rPr>
          <w:rFonts w:ascii="Arial" w:eastAsia="Calibri" w:hAnsi="Arial" w:cs="Arial"/>
          <w:bCs/>
          <w:spacing w:val="1"/>
          <w:w w:val="99"/>
        </w:rPr>
        <w:t>N</w:t>
      </w:r>
      <w:r>
        <w:rPr>
          <w:rFonts w:ascii="Sylfaen" w:eastAsia="Calibri" w:hAnsi="Sylfaen" w:cs="Arial"/>
          <w:bCs/>
          <w:spacing w:val="1"/>
          <w:w w:val="99"/>
          <w:sz w:val="24"/>
          <w:szCs w:val="24"/>
          <w:lang w:val="ka-GE"/>
        </w:rPr>
        <w:t>7,8,9</w:t>
      </w:r>
      <w:proofErr w:type="gramEnd"/>
    </w:p>
    <w:p w:rsidR="00017815" w:rsidRPr="004A1630" w:rsidRDefault="00017815" w:rsidP="00017815">
      <w:pPr>
        <w:spacing w:after="0" w:line="240" w:lineRule="auto"/>
        <w:ind w:right="40"/>
        <w:jc w:val="center"/>
        <w:rPr>
          <w:rFonts w:ascii="Sylfaen" w:eastAsia="Calibri" w:hAnsi="Sylfaen" w:cs="Arial"/>
          <w:bCs/>
          <w:spacing w:val="1"/>
          <w:w w:val="99"/>
          <w:sz w:val="24"/>
          <w:szCs w:val="24"/>
          <w:lang w:val="ka-GE"/>
        </w:rPr>
      </w:pPr>
    </w:p>
    <w:p w:rsidR="00017815" w:rsidRPr="004A1630" w:rsidRDefault="00017815" w:rsidP="00017815">
      <w:pPr>
        <w:jc w:val="center"/>
        <w:rPr>
          <w:rFonts w:ascii="Sylfaen" w:eastAsia="Calibri" w:hAnsi="Sylfaen"/>
          <w:bCs/>
          <w:sz w:val="32"/>
          <w:szCs w:val="32"/>
        </w:rPr>
      </w:pPr>
    </w:p>
    <w:p w:rsidR="00017815" w:rsidRDefault="00017815" w:rsidP="0065098A">
      <w:pPr>
        <w:spacing w:before="240" w:after="0" w:line="240" w:lineRule="auto"/>
        <w:jc w:val="both"/>
        <w:rPr>
          <w:rFonts w:ascii="Sylfaen" w:eastAsia="Calibri" w:hAnsi="Sylfaen" w:cs="Times New Roman"/>
          <w:lang w:val="ka-GE" w:eastAsia="zh-CN"/>
        </w:rPr>
      </w:pPr>
    </w:p>
    <w:sectPr w:rsidR="000178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3D3" w:rsidRDefault="005D13D3" w:rsidP="00E530C9">
      <w:pPr>
        <w:spacing w:after="0" w:line="240" w:lineRule="auto"/>
      </w:pPr>
      <w:r>
        <w:separator/>
      </w:r>
    </w:p>
  </w:endnote>
  <w:endnote w:type="continuationSeparator" w:id="0">
    <w:p w:rsidR="005D13D3" w:rsidRDefault="005D13D3" w:rsidP="00E5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3D3" w:rsidRDefault="005D13D3" w:rsidP="00E530C9">
      <w:pPr>
        <w:spacing w:after="0" w:line="240" w:lineRule="auto"/>
      </w:pPr>
      <w:r>
        <w:separator/>
      </w:r>
    </w:p>
  </w:footnote>
  <w:footnote w:type="continuationSeparator" w:id="0">
    <w:p w:rsidR="005D13D3" w:rsidRDefault="005D13D3" w:rsidP="00E530C9">
      <w:pPr>
        <w:spacing w:after="0" w:line="240" w:lineRule="auto"/>
      </w:pPr>
      <w:r>
        <w:continuationSeparator/>
      </w:r>
    </w:p>
  </w:footnote>
  <w:footnote w:id="1">
    <w:p w:rsidR="00E530C9" w:rsidRDefault="00E530C9" w:rsidP="00E530C9">
      <w:pPr>
        <w:pStyle w:val="FootnoteText"/>
      </w:pPr>
    </w:p>
  </w:footnote>
  <w:footnote w:id="2">
    <w:p w:rsidR="007B455C" w:rsidRPr="007B455C" w:rsidRDefault="007B455C" w:rsidP="007B455C">
      <w:pPr>
        <w:pStyle w:val="FootnoteText"/>
        <w:rPr>
          <w:rFonts w:ascii="Sylfaen" w:hAnsi="Sylfaen"/>
          <w:sz w:val="14"/>
          <w:szCs w:val="14"/>
          <w:lang w:val="ka-GE"/>
        </w:rPr>
      </w:pPr>
      <w:r>
        <w:rPr>
          <w:rStyle w:val="FootnoteReference"/>
        </w:rPr>
        <w:footnoteRef/>
      </w:r>
      <w:r>
        <w:t xml:space="preserve"> </w:t>
      </w:r>
      <w:r w:rsidRPr="007B455C">
        <w:rPr>
          <w:rFonts w:ascii="Sylfaen" w:hAnsi="Sylfaen"/>
          <w:sz w:val="14"/>
          <w:szCs w:val="14"/>
        </w:rPr>
        <w:t>HOW FRAGILE IS HER FUTURE?</w:t>
      </w:r>
      <w:r w:rsidRPr="007B455C">
        <w:rPr>
          <w:rFonts w:ascii="Sylfaen" w:hAnsi="Sylfaen"/>
          <w:sz w:val="14"/>
          <w:szCs w:val="14"/>
          <w:lang w:val="ka-GE"/>
        </w:rPr>
        <w:t xml:space="preserve"> A REPORT INVESTIGATING THE CURRENT UNDERSTANDING AND MANAGEMENT OF OSTEOPOROSIS AROUND THE WORLD TODAY</w:t>
      </w:r>
    </w:p>
    <w:p w:rsidR="007B455C" w:rsidRPr="002428C7" w:rsidRDefault="007B455C" w:rsidP="007B455C">
      <w:pPr>
        <w:pStyle w:val="FootnoteText"/>
        <w:rPr>
          <w:rFonts w:ascii="Sylfaen" w:hAnsi="Sylfaen"/>
          <w:sz w:val="16"/>
          <w:szCs w:val="16"/>
          <w:lang w:val="ka-GE"/>
        </w:rPr>
      </w:pPr>
    </w:p>
    <w:p w:rsidR="007B455C" w:rsidRPr="007B455C" w:rsidRDefault="007B455C">
      <w:pPr>
        <w:pStyle w:val="FootnoteText"/>
        <w:rPr>
          <w:rFonts w:ascii="Sylfaen" w:hAnsi="Sylfaen"/>
          <w:lang w:val="ka-G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C7DA9"/>
    <w:multiLevelType w:val="hybridMultilevel"/>
    <w:tmpl w:val="2FA2D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02022"/>
    <w:multiLevelType w:val="hybridMultilevel"/>
    <w:tmpl w:val="E08C065A"/>
    <w:lvl w:ilvl="0" w:tplc="FD008694">
      <w:start w:val="1"/>
      <w:numFmt w:val="bullet"/>
      <w:lvlText w:val=""/>
      <w:lvlJc w:val="left"/>
      <w:pPr>
        <w:ind w:left="720" w:hanging="360"/>
      </w:pPr>
      <w:rPr>
        <w:rFonts w:ascii="Symbol" w:hAnsi="Symbol" w:hint="default"/>
        <w:color w:val="323E4F" w:themeColor="text2"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25EDB"/>
    <w:multiLevelType w:val="hybridMultilevel"/>
    <w:tmpl w:val="DDD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E5878"/>
    <w:multiLevelType w:val="hybridMultilevel"/>
    <w:tmpl w:val="43B6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269B9"/>
    <w:multiLevelType w:val="hybridMultilevel"/>
    <w:tmpl w:val="27BC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9C1AA4"/>
    <w:multiLevelType w:val="hybridMultilevel"/>
    <w:tmpl w:val="58DC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82"/>
    <w:rsid w:val="0001177C"/>
    <w:rsid w:val="00017815"/>
    <w:rsid w:val="0002323E"/>
    <w:rsid w:val="000E4849"/>
    <w:rsid w:val="000F6F97"/>
    <w:rsid w:val="00141E8B"/>
    <w:rsid w:val="001B0063"/>
    <w:rsid w:val="001F5C2E"/>
    <w:rsid w:val="001F60A7"/>
    <w:rsid w:val="00222004"/>
    <w:rsid w:val="00245664"/>
    <w:rsid w:val="002B4D51"/>
    <w:rsid w:val="003A07B9"/>
    <w:rsid w:val="003F065F"/>
    <w:rsid w:val="003F240D"/>
    <w:rsid w:val="00402E74"/>
    <w:rsid w:val="0044424A"/>
    <w:rsid w:val="004E1D2F"/>
    <w:rsid w:val="005D13D3"/>
    <w:rsid w:val="006021A5"/>
    <w:rsid w:val="006266D4"/>
    <w:rsid w:val="0065098A"/>
    <w:rsid w:val="006676C8"/>
    <w:rsid w:val="00675432"/>
    <w:rsid w:val="00680A7C"/>
    <w:rsid w:val="00684582"/>
    <w:rsid w:val="0069233B"/>
    <w:rsid w:val="006B43A5"/>
    <w:rsid w:val="007B2506"/>
    <w:rsid w:val="007B455C"/>
    <w:rsid w:val="007C6E4B"/>
    <w:rsid w:val="007D3D2C"/>
    <w:rsid w:val="00803F8C"/>
    <w:rsid w:val="00812D58"/>
    <w:rsid w:val="00831988"/>
    <w:rsid w:val="00853CB9"/>
    <w:rsid w:val="008C5AB7"/>
    <w:rsid w:val="0096376C"/>
    <w:rsid w:val="009A6B55"/>
    <w:rsid w:val="009A7BEB"/>
    <w:rsid w:val="00A657A4"/>
    <w:rsid w:val="00B62B9E"/>
    <w:rsid w:val="00BF3ADA"/>
    <w:rsid w:val="00BF5060"/>
    <w:rsid w:val="00C649D0"/>
    <w:rsid w:val="00CE0032"/>
    <w:rsid w:val="00CF2934"/>
    <w:rsid w:val="00D14F40"/>
    <w:rsid w:val="00D2007B"/>
    <w:rsid w:val="00DB49B1"/>
    <w:rsid w:val="00E17747"/>
    <w:rsid w:val="00E421A3"/>
    <w:rsid w:val="00E530C9"/>
    <w:rsid w:val="00EA079B"/>
    <w:rsid w:val="00EB61EF"/>
    <w:rsid w:val="00EE224A"/>
    <w:rsid w:val="00F539F0"/>
    <w:rsid w:val="00F65A35"/>
    <w:rsid w:val="00F800EA"/>
    <w:rsid w:val="00FA4E7F"/>
    <w:rsid w:val="00FC0404"/>
    <w:rsid w:val="00FD544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400DC-6A26-4459-B94D-D0251250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30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0C9"/>
    <w:rPr>
      <w:sz w:val="20"/>
      <w:szCs w:val="20"/>
    </w:rPr>
  </w:style>
  <w:style w:type="character" w:styleId="FootnoteReference">
    <w:name w:val="footnote reference"/>
    <w:basedOn w:val="DefaultParagraphFont"/>
    <w:uiPriority w:val="99"/>
    <w:semiHidden/>
    <w:unhideWhenUsed/>
    <w:rsid w:val="00E530C9"/>
    <w:rPr>
      <w:vertAlign w:val="superscript"/>
    </w:rPr>
  </w:style>
  <w:style w:type="paragraph" w:styleId="ListParagraph">
    <w:name w:val="List Paragraph"/>
    <w:basedOn w:val="Normal"/>
    <w:uiPriority w:val="34"/>
    <w:qFormat/>
    <w:rsid w:val="007B455C"/>
    <w:pPr>
      <w:ind w:left="720"/>
      <w:contextualSpacing/>
    </w:pPr>
  </w:style>
  <w:style w:type="paragraph" w:styleId="BalloonText">
    <w:name w:val="Balloon Text"/>
    <w:basedOn w:val="Normal"/>
    <w:link w:val="BalloonTextChar"/>
    <w:uiPriority w:val="99"/>
    <w:semiHidden/>
    <w:unhideWhenUsed/>
    <w:rsid w:val="00444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3.5165570057167514E-2"/>
          <c:w val="0.73294947506561681"/>
          <c:h val="0.9648343175853018"/>
        </c:manualLayout>
      </c:layout>
      <c:pie3DChart>
        <c:varyColors val="1"/>
        <c:ser>
          <c:idx val="0"/>
          <c:order val="0"/>
          <c:tx>
            <c:strRef>
              <c:f>Sheet1!$B$1</c:f>
              <c:strCache>
                <c:ptCount val="1"/>
                <c:pt idx="0">
                  <c:v>Column1</c:v>
                </c:pt>
              </c:strCache>
            </c:strRef>
          </c:tx>
          <c:explosion val="25"/>
          <c:dLbls>
            <c:dLbl>
              <c:idx val="2"/>
              <c:layout>
                <c:manualLayout>
                  <c:x val="1.2469925634295671E-2"/>
                  <c:y val="1.0173969653913956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8550962379702494E-2"/>
                  <c:y val="5.53324241229049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ubeduri SemTxvevebi</c:v>
                </c:pt>
                <c:pt idx="1">
                  <c:v>gaurkveveli ganzraxviT dazianeba da Tavdasxma</c:v>
                </c:pt>
                <c:pt idx="2">
                  <c:v>TviTdazianeba</c:v>
                </c:pt>
                <c:pt idx="3">
                  <c:v>sxva zemoqmedeba</c:v>
                </c:pt>
              </c:strCache>
            </c:strRef>
          </c:cat>
          <c:val>
            <c:numRef>
              <c:f>Sheet1!$B$2:$B$5</c:f>
              <c:numCache>
                <c:formatCode>0%</c:formatCode>
                <c:ptCount val="4"/>
                <c:pt idx="0">
                  <c:v>0.84</c:v>
                </c:pt>
                <c:pt idx="1">
                  <c:v>0.11</c:v>
                </c:pt>
                <c:pt idx="2">
                  <c:v>0.01</c:v>
                </c:pt>
                <c:pt idx="3">
                  <c:v>0.04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580562846310883"/>
          <c:y val="1.8105009052504527E-2"/>
          <c:w val="0.34873140857392826"/>
          <c:h val="0.94344160104986874"/>
        </c:manualLayout>
      </c:layout>
      <c:overlay val="0"/>
      <c:txPr>
        <a:bodyPr/>
        <a:lstStyle/>
        <a:p>
          <a:pPr>
            <a:defRPr sz="900" b="1">
              <a:latin typeface="AcadNusx" pitchFamily="2" charset="0"/>
            </a:defRPr>
          </a:pPr>
          <a:endParaRPr lang="en-US"/>
        </a:p>
      </c:txPr>
    </c:legend>
    <c:plotVisOnly val="1"/>
    <c:dispBlanksAs val="zero"/>
    <c:showDLblsOverMax val="0"/>
  </c:chart>
  <c:spPr>
    <a:ln>
      <a:solidFill>
        <a:srgbClr val="002060"/>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5.2998323126275844E-3"/>
          <c:y val="3.910807201731363E-2"/>
          <c:w val="0.65521835812190155"/>
          <c:h val="0.90423999631625007"/>
        </c:manualLayout>
      </c:layout>
      <c:pie3DChart>
        <c:varyColors val="1"/>
        <c:ser>
          <c:idx val="0"/>
          <c:order val="0"/>
          <c:tx>
            <c:strRef>
              <c:f>Sheet1!$B$1</c:f>
              <c:strCache>
                <c:ptCount val="1"/>
                <c:pt idx="0">
                  <c:v>Column1</c:v>
                </c:pt>
              </c:strCache>
            </c:strRef>
          </c:tx>
          <c:explosion val="25"/>
          <c:dPt>
            <c:idx val="0"/>
            <c:bubble3D val="0"/>
            <c:spPr>
              <a:solidFill>
                <a:srgbClr val="00B0F0"/>
              </a:solidFill>
            </c:spPr>
          </c:dPt>
          <c:dPt>
            <c:idx val="1"/>
            <c:bubble3D val="0"/>
            <c:spPr>
              <a:solidFill>
                <a:srgbClr val="FF0000"/>
              </a:solidFill>
            </c:spPr>
          </c:dPt>
          <c:dLbls>
            <c:dLbl>
              <c:idx val="3"/>
              <c:layout>
                <c:manualLayout>
                  <c:x val="-2.1903798483522884E-2"/>
                  <c:y val="4.551937984496123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9.9386567063732417E-2"/>
                  <c:y val="2.635658914728682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2387946698970322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Sheet1!$A$2:$A$8</c:f>
              <c:strCache>
                <c:ptCount val="7"/>
                <c:pt idx="0">
                  <c:v>vardna</c:v>
                </c:pt>
                <c:pt idx="1">
                  <c:v>sagzao-satransprto</c:v>
                </c:pt>
                <c:pt idx="2">
                  <c:v>cocxali da aracocxali meqanikuri Zalis zemoqmedeba</c:v>
                </c:pt>
                <c:pt idx="3">
                  <c:v>damwvroba</c:v>
                </c:pt>
                <c:pt idx="4">
                  <c:v>SemTxveviTi mowamvla</c:v>
                </c:pt>
                <c:pt idx="5">
                  <c:v>daxrCoba\sunTqvis Sewyveta</c:v>
                </c:pt>
                <c:pt idx="6">
                  <c:v>sxva garegani mizezi</c:v>
                </c:pt>
              </c:strCache>
            </c:strRef>
          </c:cat>
          <c:val>
            <c:numRef>
              <c:f>Sheet1!$B$2:$B$8</c:f>
              <c:numCache>
                <c:formatCode>0%</c:formatCode>
                <c:ptCount val="7"/>
                <c:pt idx="0">
                  <c:v>0.56000000000000005</c:v>
                </c:pt>
                <c:pt idx="1">
                  <c:v>0.11</c:v>
                </c:pt>
                <c:pt idx="2">
                  <c:v>0.11</c:v>
                </c:pt>
                <c:pt idx="3">
                  <c:v>0.08</c:v>
                </c:pt>
                <c:pt idx="4">
                  <c:v>0.02</c:v>
                </c:pt>
                <c:pt idx="5">
                  <c:v>0.02</c:v>
                </c:pt>
                <c:pt idx="6">
                  <c:v>0.04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0914075644390608"/>
          <c:y val="6.524568149911493E-2"/>
          <c:w val="0.38783229019449494"/>
          <c:h val="0.93475449715127068"/>
        </c:manualLayout>
      </c:layout>
      <c:overlay val="0"/>
      <c:txPr>
        <a:bodyPr/>
        <a:lstStyle/>
        <a:p>
          <a:pPr>
            <a:defRPr sz="800" b="1">
              <a:latin typeface="AcadNusx" pitchFamily="2" charset="0"/>
            </a:defRPr>
          </a:pPr>
          <a:endParaRPr lang="en-US"/>
        </a:p>
      </c:txPr>
    </c:legend>
    <c:plotVisOnly val="1"/>
    <c:dispBlanksAs val="zero"/>
    <c:showDLblsOverMax val="0"/>
  </c:chart>
  <c:spPr>
    <a:ln>
      <a:solidFill>
        <a:srgbClr val="002060"/>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754629629629646E-2"/>
          <c:y val="6.5439672801635998E-2"/>
          <c:w val="0.75258347914843982"/>
          <c:h val="0.73382413087934562"/>
        </c:manualLayout>
      </c:layout>
      <c:barChart>
        <c:barDir val="col"/>
        <c:grouping val="clustered"/>
        <c:varyColors val="0"/>
        <c:ser>
          <c:idx val="0"/>
          <c:order val="0"/>
          <c:tx>
            <c:strRef>
              <c:f>Sheet1!$B$1</c:f>
              <c:strCache>
                <c:ptCount val="1"/>
                <c:pt idx="0">
                  <c:v>qali</c:v>
                </c:pt>
              </c:strCache>
            </c:strRef>
          </c:tx>
          <c:spPr>
            <a:solidFill>
              <a:srgbClr val="FF0000"/>
            </a:solidFill>
          </c:spPr>
          <c:invertIfNegative val="0"/>
          <c:cat>
            <c:strRef>
              <c:f>Sheet1!$A$2:$A$6</c:f>
              <c:strCache>
                <c:ptCount val="5"/>
                <c:pt idx="0">
                  <c:v>0-17w</c:v>
                </c:pt>
                <c:pt idx="1">
                  <c:v>18-25w</c:v>
                </c:pt>
                <c:pt idx="2">
                  <c:v>26-45w</c:v>
                </c:pt>
                <c:pt idx="3">
                  <c:v>46-65w</c:v>
                </c:pt>
                <c:pt idx="4">
                  <c:v>66-95w</c:v>
                </c:pt>
              </c:strCache>
            </c:strRef>
          </c:cat>
          <c:val>
            <c:numRef>
              <c:f>Sheet1!$B$2:$B$6</c:f>
              <c:numCache>
                <c:formatCode>General</c:formatCode>
                <c:ptCount val="5"/>
                <c:pt idx="0">
                  <c:v>917</c:v>
                </c:pt>
                <c:pt idx="1">
                  <c:v>397</c:v>
                </c:pt>
                <c:pt idx="2">
                  <c:v>1020</c:v>
                </c:pt>
                <c:pt idx="3">
                  <c:v>1746</c:v>
                </c:pt>
                <c:pt idx="4">
                  <c:v>3104</c:v>
                </c:pt>
              </c:numCache>
            </c:numRef>
          </c:val>
        </c:ser>
        <c:ser>
          <c:idx val="1"/>
          <c:order val="1"/>
          <c:tx>
            <c:strRef>
              <c:f>Sheet1!$C$1</c:f>
              <c:strCache>
                <c:ptCount val="1"/>
                <c:pt idx="0">
                  <c:v>mamakaci</c:v>
                </c:pt>
              </c:strCache>
            </c:strRef>
          </c:tx>
          <c:spPr>
            <a:solidFill>
              <a:srgbClr val="002060"/>
            </a:solidFill>
          </c:spPr>
          <c:invertIfNegative val="0"/>
          <c:cat>
            <c:strRef>
              <c:f>Sheet1!$A$2:$A$6</c:f>
              <c:strCache>
                <c:ptCount val="5"/>
                <c:pt idx="0">
                  <c:v>0-17w</c:v>
                </c:pt>
                <c:pt idx="1">
                  <c:v>18-25w</c:v>
                </c:pt>
                <c:pt idx="2">
                  <c:v>26-45w</c:v>
                </c:pt>
                <c:pt idx="3">
                  <c:v>46-65w</c:v>
                </c:pt>
                <c:pt idx="4">
                  <c:v>66-95w</c:v>
                </c:pt>
              </c:strCache>
            </c:strRef>
          </c:cat>
          <c:val>
            <c:numRef>
              <c:f>Sheet1!$C$2:$C$6</c:f>
              <c:numCache>
                <c:formatCode>General</c:formatCode>
                <c:ptCount val="5"/>
                <c:pt idx="0">
                  <c:v>1940</c:v>
                </c:pt>
                <c:pt idx="1">
                  <c:v>1142</c:v>
                </c:pt>
                <c:pt idx="2">
                  <c:v>2578</c:v>
                </c:pt>
                <c:pt idx="3">
                  <c:v>2120</c:v>
                </c:pt>
                <c:pt idx="4">
                  <c:v>1307</c:v>
                </c:pt>
              </c:numCache>
            </c:numRef>
          </c:val>
        </c:ser>
        <c:ser>
          <c:idx val="2"/>
          <c:order val="2"/>
          <c:tx>
            <c:strRef>
              <c:f>Sheet1!$D$1</c:f>
              <c:strCache>
                <c:ptCount val="1"/>
                <c:pt idx="0">
                  <c:v>Series 3</c:v>
                </c:pt>
              </c:strCache>
            </c:strRef>
          </c:tx>
          <c:invertIfNegative val="0"/>
          <c:cat>
            <c:strRef>
              <c:f>Sheet1!$A$2:$A$6</c:f>
              <c:strCache>
                <c:ptCount val="5"/>
                <c:pt idx="0">
                  <c:v>0-17w</c:v>
                </c:pt>
                <c:pt idx="1">
                  <c:v>18-25w</c:v>
                </c:pt>
                <c:pt idx="2">
                  <c:v>26-45w</c:v>
                </c:pt>
                <c:pt idx="3">
                  <c:v>46-65w</c:v>
                </c:pt>
                <c:pt idx="4">
                  <c:v>66-95w</c:v>
                </c:pt>
              </c:strCache>
            </c:strRef>
          </c:cat>
          <c:val>
            <c:numRef>
              <c:f>Sheet1!$D$2:$D$6</c:f>
            </c:numRef>
          </c:val>
        </c:ser>
        <c:dLbls>
          <c:showLegendKey val="0"/>
          <c:showVal val="0"/>
          <c:showCatName val="0"/>
          <c:showSerName val="0"/>
          <c:showPercent val="0"/>
          <c:showBubbleSize val="0"/>
        </c:dLbls>
        <c:gapWidth val="150"/>
        <c:axId val="-1688898928"/>
        <c:axId val="-1688894032"/>
      </c:barChart>
      <c:catAx>
        <c:axId val="-1688898928"/>
        <c:scaling>
          <c:orientation val="minMax"/>
        </c:scaling>
        <c:delete val="0"/>
        <c:axPos val="b"/>
        <c:numFmt formatCode="General" sourceLinked="0"/>
        <c:majorTickMark val="out"/>
        <c:minorTickMark val="none"/>
        <c:tickLblPos val="nextTo"/>
        <c:crossAx val="-1688894032"/>
        <c:crosses val="autoZero"/>
        <c:auto val="1"/>
        <c:lblAlgn val="ctr"/>
        <c:lblOffset val="100"/>
        <c:noMultiLvlLbl val="0"/>
      </c:catAx>
      <c:valAx>
        <c:axId val="-1688894032"/>
        <c:scaling>
          <c:orientation val="minMax"/>
        </c:scaling>
        <c:delete val="0"/>
        <c:axPos val="l"/>
        <c:majorGridlines>
          <c:spPr>
            <a:ln>
              <a:noFill/>
            </a:ln>
          </c:spPr>
        </c:majorGridlines>
        <c:numFmt formatCode="General" sourceLinked="1"/>
        <c:majorTickMark val="out"/>
        <c:minorTickMark val="none"/>
        <c:tickLblPos val="nextTo"/>
        <c:crossAx val="-1688898928"/>
        <c:crosses val="autoZero"/>
        <c:crossBetween val="between"/>
      </c:valAx>
    </c:plotArea>
    <c:legend>
      <c:legendPos val="r"/>
      <c:overlay val="0"/>
    </c:legend>
    <c:plotVisOnly val="1"/>
    <c:dispBlanksAs val="gap"/>
    <c:showDLblsOverMax val="0"/>
  </c:chart>
  <c:spPr>
    <a:ln>
      <a:solidFill>
        <a:srgbClr val="002060"/>
      </a:solidFill>
    </a:ln>
  </c:spPr>
  <c:txPr>
    <a:bodyPr/>
    <a:lstStyle/>
    <a:p>
      <a:pPr>
        <a:defRPr b="1">
          <a:latin typeface="AcadNusx" pitchFamily="2"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barZayis yelis motexiloba</c:v>
                </c:pt>
              </c:strCache>
            </c:strRef>
          </c:tx>
          <c:spPr>
            <a:solidFill>
              <a:srgbClr val="FF0000"/>
            </a:solidFill>
          </c:spPr>
          <c:invertIfNegative val="0"/>
          <c:cat>
            <c:strRef>
              <c:f>Sheet1!$A$2:$A$6</c:f>
              <c:strCache>
                <c:ptCount val="5"/>
                <c:pt idx="0">
                  <c:v>0-17w</c:v>
                </c:pt>
                <c:pt idx="1">
                  <c:v>18-25w</c:v>
                </c:pt>
                <c:pt idx="2">
                  <c:v>26-45w</c:v>
                </c:pt>
                <c:pt idx="3">
                  <c:v>46-65w</c:v>
                </c:pt>
                <c:pt idx="4">
                  <c:v>66-95w</c:v>
                </c:pt>
              </c:strCache>
            </c:strRef>
          </c:cat>
          <c:val>
            <c:numRef>
              <c:f>Sheet1!$B$2:$B$6</c:f>
              <c:numCache>
                <c:formatCode>General</c:formatCode>
                <c:ptCount val="5"/>
                <c:pt idx="0">
                  <c:v>78</c:v>
                </c:pt>
                <c:pt idx="1">
                  <c:v>19</c:v>
                </c:pt>
                <c:pt idx="2">
                  <c:v>101</c:v>
                </c:pt>
                <c:pt idx="3">
                  <c:v>456</c:v>
                </c:pt>
                <c:pt idx="4">
                  <c:v>2188</c:v>
                </c:pt>
              </c:numCache>
            </c:numRef>
          </c:val>
        </c:ser>
        <c:ser>
          <c:idx val="1"/>
          <c:order val="1"/>
          <c:tx>
            <c:strRef>
              <c:f>Sheet1!$C$1</c:f>
              <c:strCache>
                <c:ptCount val="1"/>
                <c:pt idx="0">
                  <c:v>vertebraluri motexilobebi</c:v>
                </c:pt>
              </c:strCache>
            </c:strRef>
          </c:tx>
          <c:spPr>
            <a:solidFill>
              <a:srgbClr val="00B050"/>
            </a:solidFill>
          </c:spPr>
          <c:invertIfNegative val="0"/>
          <c:cat>
            <c:strRef>
              <c:f>Sheet1!$A$2:$A$6</c:f>
              <c:strCache>
                <c:ptCount val="5"/>
                <c:pt idx="0">
                  <c:v>0-17w</c:v>
                </c:pt>
                <c:pt idx="1">
                  <c:v>18-25w</c:v>
                </c:pt>
                <c:pt idx="2">
                  <c:v>26-45w</c:v>
                </c:pt>
                <c:pt idx="3">
                  <c:v>46-65w</c:v>
                </c:pt>
                <c:pt idx="4">
                  <c:v>66-95w</c:v>
                </c:pt>
              </c:strCache>
            </c:strRef>
          </c:cat>
          <c:val>
            <c:numRef>
              <c:f>Sheet1!$C$2:$C$6</c:f>
              <c:numCache>
                <c:formatCode>General</c:formatCode>
                <c:ptCount val="5"/>
                <c:pt idx="0">
                  <c:v>6</c:v>
                </c:pt>
                <c:pt idx="1">
                  <c:v>13</c:v>
                </c:pt>
                <c:pt idx="2">
                  <c:v>46</c:v>
                </c:pt>
                <c:pt idx="3">
                  <c:v>52</c:v>
                </c:pt>
                <c:pt idx="4">
                  <c:v>17</c:v>
                </c:pt>
              </c:numCache>
            </c:numRef>
          </c:val>
        </c:ser>
        <c:ser>
          <c:idx val="2"/>
          <c:order val="2"/>
          <c:tx>
            <c:strRef>
              <c:f>Sheet1!$D$1</c:f>
              <c:strCache>
                <c:ptCount val="1"/>
                <c:pt idx="0">
                  <c:v>Series 3</c:v>
                </c:pt>
              </c:strCache>
            </c:strRef>
          </c:tx>
          <c:invertIfNegative val="0"/>
          <c:cat>
            <c:strRef>
              <c:f>Sheet1!$A$2:$A$6</c:f>
              <c:strCache>
                <c:ptCount val="5"/>
                <c:pt idx="0">
                  <c:v>0-17w</c:v>
                </c:pt>
                <c:pt idx="1">
                  <c:v>18-25w</c:v>
                </c:pt>
                <c:pt idx="2">
                  <c:v>26-45w</c:v>
                </c:pt>
                <c:pt idx="3">
                  <c:v>46-65w</c:v>
                </c:pt>
                <c:pt idx="4">
                  <c:v>66-95w</c:v>
                </c:pt>
              </c:strCache>
            </c:strRef>
          </c:cat>
          <c:val>
            <c:numRef>
              <c:f>Sheet1!$D$2:$D$6</c:f>
            </c:numRef>
          </c:val>
        </c:ser>
        <c:ser>
          <c:idx val="3"/>
          <c:order val="3"/>
          <c:tx>
            <c:strRef>
              <c:f>Sheet1!$E$1</c:f>
              <c:strCache>
                <c:ptCount val="1"/>
                <c:pt idx="0">
                  <c:v>wvivis Zvlis motexiloba</c:v>
                </c:pt>
              </c:strCache>
            </c:strRef>
          </c:tx>
          <c:spPr>
            <a:solidFill>
              <a:srgbClr val="7030A0"/>
            </a:solidFill>
          </c:spPr>
          <c:invertIfNegative val="0"/>
          <c:cat>
            <c:strRef>
              <c:f>Sheet1!$A$2:$A$6</c:f>
              <c:strCache>
                <c:ptCount val="5"/>
                <c:pt idx="0">
                  <c:v>0-17w</c:v>
                </c:pt>
                <c:pt idx="1">
                  <c:v>18-25w</c:v>
                </c:pt>
                <c:pt idx="2">
                  <c:v>26-45w</c:v>
                </c:pt>
                <c:pt idx="3">
                  <c:v>46-65w</c:v>
                </c:pt>
                <c:pt idx="4">
                  <c:v>66-95w</c:v>
                </c:pt>
              </c:strCache>
            </c:strRef>
          </c:cat>
          <c:val>
            <c:numRef>
              <c:f>Sheet1!$E$2:$E$6</c:f>
              <c:numCache>
                <c:formatCode>General</c:formatCode>
                <c:ptCount val="5"/>
                <c:pt idx="0">
                  <c:v>99</c:v>
                </c:pt>
                <c:pt idx="1">
                  <c:v>89</c:v>
                </c:pt>
                <c:pt idx="2">
                  <c:v>414</c:v>
                </c:pt>
                <c:pt idx="3">
                  <c:v>554</c:v>
                </c:pt>
                <c:pt idx="4">
                  <c:v>236</c:v>
                </c:pt>
              </c:numCache>
            </c:numRef>
          </c:val>
        </c:ser>
        <c:ser>
          <c:idx val="4"/>
          <c:order val="4"/>
          <c:tx>
            <c:strRef>
              <c:f>Sheet1!$F$1</c:f>
              <c:strCache>
                <c:ptCount val="1"/>
                <c:pt idx="0">
                  <c:v>sxva motexilobebi</c:v>
                </c:pt>
              </c:strCache>
            </c:strRef>
          </c:tx>
          <c:invertIfNegative val="0"/>
          <c:cat>
            <c:strRef>
              <c:f>Sheet1!$A$2:$A$6</c:f>
              <c:strCache>
                <c:ptCount val="5"/>
                <c:pt idx="0">
                  <c:v>0-17w</c:v>
                </c:pt>
                <c:pt idx="1">
                  <c:v>18-25w</c:v>
                </c:pt>
                <c:pt idx="2">
                  <c:v>26-45w</c:v>
                </c:pt>
                <c:pt idx="3">
                  <c:v>46-65w</c:v>
                </c:pt>
                <c:pt idx="4">
                  <c:v>66-95w</c:v>
                </c:pt>
              </c:strCache>
            </c:strRef>
          </c:cat>
          <c:val>
            <c:numRef>
              <c:f>Sheet1!$F$2:$F$6</c:f>
              <c:numCache>
                <c:formatCode>General</c:formatCode>
                <c:ptCount val="5"/>
                <c:pt idx="0">
                  <c:v>2637</c:v>
                </c:pt>
                <c:pt idx="1">
                  <c:v>1387</c:v>
                </c:pt>
                <c:pt idx="2">
                  <c:v>2933</c:v>
                </c:pt>
                <c:pt idx="3">
                  <c:v>2689</c:v>
                </c:pt>
                <c:pt idx="4">
                  <c:v>1810</c:v>
                </c:pt>
              </c:numCache>
            </c:numRef>
          </c:val>
        </c:ser>
        <c:dLbls>
          <c:showLegendKey val="0"/>
          <c:showVal val="0"/>
          <c:showCatName val="0"/>
          <c:showSerName val="0"/>
          <c:showPercent val="0"/>
          <c:showBubbleSize val="0"/>
        </c:dLbls>
        <c:gapWidth val="150"/>
        <c:axId val="-1688897296"/>
        <c:axId val="-1688898384"/>
      </c:barChart>
      <c:catAx>
        <c:axId val="-1688897296"/>
        <c:scaling>
          <c:orientation val="minMax"/>
        </c:scaling>
        <c:delete val="0"/>
        <c:axPos val="b"/>
        <c:numFmt formatCode="General" sourceLinked="0"/>
        <c:majorTickMark val="out"/>
        <c:minorTickMark val="none"/>
        <c:tickLblPos val="nextTo"/>
        <c:crossAx val="-1688898384"/>
        <c:crosses val="autoZero"/>
        <c:auto val="1"/>
        <c:lblAlgn val="ctr"/>
        <c:lblOffset val="100"/>
        <c:noMultiLvlLbl val="0"/>
      </c:catAx>
      <c:valAx>
        <c:axId val="-1688898384"/>
        <c:scaling>
          <c:orientation val="minMax"/>
        </c:scaling>
        <c:delete val="0"/>
        <c:axPos val="l"/>
        <c:majorGridlines>
          <c:spPr>
            <a:ln>
              <a:noFill/>
            </a:ln>
          </c:spPr>
        </c:majorGridlines>
        <c:numFmt formatCode="General" sourceLinked="1"/>
        <c:majorTickMark val="out"/>
        <c:minorTickMark val="none"/>
        <c:tickLblPos val="nextTo"/>
        <c:crossAx val="-1688897296"/>
        <c:crosses val="autoZero"/>
        <c:crossBetween val="between"/>
      </c:valAx>
    </c:plotArea>
    <c:legend>
      <c:legendPos val="r"/>
      <c:overlay val="0"/>
    </c:legend>
    <c:plotVisOnly val="1"/>
    <c:dispBlanksAs val="gap"/>
    <c:showDLblsOverMax val="0"/>
  </c:chart>
  <c:txPr>
    <a:bodyPr/>
    <a:lstStyle/>
    <a:p>
      <a:pPr>
        <a:defRPr b="1">
          <a:latin typeface="AcadNusx" pitchFamily="2"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barZayis yelis motexiloba</c:v>
                </c:pt>
              </c:strCache>
            </c:strRef>
          </c:tx>
          <c:spPr>
            <a:solidFill>
              <a:srgbClr val="FF0000"/>
            </a:solidFill>
          </c:spPr>
          <c:invertIfNegative val="0"/>
          <c:cat>
            <c:strRef>
              <c:f>Sheet1!$A$2:$A$6</c:f>
              <c:strCache>
                <c:ptCount val="5"/>
                <c:pt idx="0">
                  <c:v>0-17w</c:v>
                </c:pt>
                <c:pt idx="1">
                  <c:v>18-25w</c:v>
                </c:pt>
                <c:pt idx="2">
                  <c:v>26-45w</c:v>
                </c:pt>
                <c:pt idx="3">
                  <c:v>46-65w</c:v>
                </c:pt>
                <c:pt idx="4">
                  <c:v>66-95w</c:v>
                </c:pt>
              </c:strCache>
            </c:strRef>
          </c:cat>
          <c:val>
            <c:numRef>
              <c:f>Sheet1!$B$2:$B$6</c:f>
              <c:numCache>
                <c:formatCode>General</c:formatCode>
                <c:ptCount val="5"/>
                <c:pt idx="0">
                  <c:v>24</c:v>
                </c:pt>
                <c:pt idx="1">
                  <c:v>2</c:v>
                </c:pt>
                <c:pt idx="2">
                  <c:v>30</c:v>
                </c:pt>
                <c:pt idx="3">
                  <c:v>245</c:v>
                </c:pt>
                <c:pt idx="4">
                  <c:v>1717</c:v>
                </c:pt>
              </c:numCache>
            </c:numRef>
          </c:val>
        </c:ser>
        <c:ser>
          <c:idx val="1"/>
          <c:order val="1"/>
          <c:tx>
            <c:strRef>
              <c:f>Sheet1!$C$1</c:f>
              <c:strCache>
                <c:ptCount val="1"/>
                <c:pt idx="0">
                  <c:v>vertebraluri motexilobebi</c:v>
                </c:pt>
              </c:strCache>
            </c:strRef>
          </c:tx>
          <c:spPr>
            <a:solidFill>
              <a:srgbClr val="00B050"/>
            </a:solidFill>
          </c:spPr>
          <c:invertIfNegative val="0"/>
          <c:cat>
            <c:strRef>
              <c:f>Sheet1!$A$2:$A$6</c:f>
              <c:strCache>
                <c:ptCount val="5"/>
                <c:pt idx="0">
                  <c:v>0-17w</c:v>
                </c:pt>
                <c:pt idx="1">
                  <c:v>18-25w</c:v>
                </c:pt>
                <c:pt idx="2">
                  <c:v>26-45w</c:v>
                </c:pt>
                <c:pt idx="3">
                  <c:v>46-65w</c:v>
                </c:pt>
                <c:pt idx="4">
                  <c:v>66-95w</c:v>
                </c:pt>
              </c:strCache>
            </c:strRef>
          </c:cat>
          <c:val>
            <c:numRef>
              <c:f>Sheet1!$C$2:$C$6</c:f>
              <c:numCache>
                <c:formatCode>General</c:formatCode>
                <c:ptCount val="5"/>
                <c:pt idx="0">
                  <c:v>4</c:v>
                </c:pt>
                <c:pt idx="1">
                  <c:v>9</c:v>
                </c:pt>
                <c:pt idx="2">
                  <c:v>10</c:v>
                </c:pt>
                <c:pt idx="3">
                  <c:v>15</c:v>
                </c:pt>
                <c:pt idx="4">
                  <c:v>6</c:v>
                </c:pt>
              </c:numCache>
            </c:numRef>
          </c:val>
        </c:ser>
        <c:ser>
          <c:idx val="2"/>
          <c:order val="2"/>
          <c:tx>
            <c:strRef>
              <c:f>Sheet1!$D$1</c:f>
              <c:strCache>
                <c:ptCount val="1"/>
                <c:pt idx="0">
                  <c:v>Series 3</c:v>
                </c:pt>
              </c:strCache>
            </c:strRef>
          </c:tx>
          <c:invertIfNegative val="0"/>
          <c:cat>
            <c:strRef>
              <c:f>Sheet1!$A$2:$A$6</c:f>
              <c:strCache>
                <c:ptCount val="5"/>
                <c:pt idx="0">
                  <c:v>0-17w</c:v>
                </c:pt>
                <c:pt idx="1">
                  <c:v>18-25w</c:v>
                </c:pt>
                <c:pt idx="2">
                  <c:v>26-45w</c:v>
                </c:pt>
                <c:pt idx="3">
                  <c:v>46-65w</c:v>
                </c:pt>
                <c:pt idx="4">
                  <c:v>66-95w</c:v>
                </c:pt>
              </c:strCache>
            </c:strRef>
          </c:cat>
          <c:val>
            <c:numRef>
              <c:f>Sheet1!$D$2:$D$6</c:f>
            </c:numRef>
          </c:val>
        </c:ser>
        <c:ser>
          <c:idx val="3"/>
          <c:order val="3"/>
          <c:tx>
            <c:strRef>
              <c:f>Sheet1!$E$1</c:f>
              <c:strCache>
                <c:ptCount val="1"/>
                <c:pt idx="0">
                  <c:v>wvivis Zvlis motexiloba</c:v>
                </c:pt>
              </c:strCache>
            </c:strRef>
          </c:tx>
          <c:spPr>
            <a:solidFill>
              <a:srgbClr val="7030A0"/>
            </a:solidFill>
          </c:spPr>
          <c:invertIfNegative val="0"/>
          <c:cat>
            <c:strRef>
              <c:f>Sheet1!$A$2:$A$6</c:f>
              <c:strCache>
                <c:ptCount val="5"/>
                <c:pt idx="0">
                  <c:v>0-17w</c:v>
                </c:pt>
                <c:pt idx="1">
                  <c:v>18-25w</c:v>
                </c:pt>
                <c:pt idx="2">
                  <c:v>26-45w</c:v>
                </c:pt>
                <c:pt idx="3">
                  <c:v>46-65w</c:v>
                </c:pt>
                <c:pt idx="4">
                  <c:v>66-95w</c:v>
                </c:pt>
              </c:strCache>
            </c:strRef>
          </c:cat>
          <c:val>
            <c:numRef>
              <c:f>Sheet1!$E$2:$E$6</c:f>
              <c:numCache>
                <c:formatCode>General</c:formatCode>
                <c:ptCount val="5"/>
                <c:pt idx="0">
                  <c:v>29</c:v>
                </c:pt>
                <c:pt idx="1">
                  <c:v>18</c:v>
                </c:pt>
                <c:pt idx="2">
                  <c:v>160</c:v>
                </c:pt>
                <c:pt idx="3">
                  <c:v>328</c:v>
                </c:pt>
                <c:pt idx="4">
                  <c:v>176</c:v>
                </c:pt>
              </c:numCache>
            </c:numRef>
          </c:val>
        </c:ser>
        <c:ser>
          <c:idx val="4"/>
          <c:order val="4"/>
          <c:tx>
            <c:strRef>
              <c:f>Sheet1!$F$1</c:f>
              <c:strCache>
                <c:ptCount val="1"/>
                <c:pt idx="0">
                  <c:v>sxva motexilobebi</c:v>
                </c:pt>
              </c:strCache>
            </c:strRef>
          </c:tx>
          <c:invertIfNegative val="0"/>
          <c:cat>
            <c:strRef>
              <c:f>Sheet1!$A$2:$A$6</c:f>
              <c:strCache>
                <c:ptCount val="5"/>
                <c:pt idx="0">
                  <c:v>0-17w</c:v>
                </c:pt>
                <c:pt idx="1">
                  <c:v>18-25w</c:v>
                </c:pt>
                <c:pt idx="2">
                  <c:v>26-45w</c:v>
                </c:pt>
                <c:pt idx="3">
                  <c:v>46-65w</c:v>
                </c:pt>
                <c:pt idx="4">
                  <c:v>66-95w</c:v>
                </c:pt>
              </c:strCache>
            </c:strRef>
          </c:cat>
          <c:val>
            <c:numRef>
              <c:f>Sheet1!$F$2:$F$6</c:f>
              <c:numCache>
                <c:formatCode>General</c:formatCode>
                <c:ptCount val="5"/>
                <c:pt idx="0">
                  <c:v>850</c:v>
                </c:pt>
                <c:pt idx="1">
                  <c:v>360</c:v>
                </c:pt>
                <c:pt idx="2">
                  <c:v>792</c:v>
                </c:pt>
                <c:pt idx="3">
                  <c:v>1100</c:v>
                </c:pt>
                <c:pt idx="4">
                  <c:v>1110</c:v>
                </c:pt>
              </c:numCache>
            </c:numRef>
          </c:val>
        </c:ser>
        <c:dLbls>
          <c:showLegendKey val="0"/>
          <c:showVal val="0"/>
          <c:showCatName val="0"/>
          <c:showSerName val="0"/>
          <c:showPercent val="0"/>
          <c:showBubbleSize val="0"/>
        </c:dLbls>
        <c:gapWidth val="150"/>
        <c:axId val="-1688897840"/>
        <c:axId val="-1688888592"/>
      </c:barChart>
      <c:catAx>
        <c:axId val="-1688897840"/>
        <c:scaling>
          <c:orientation val="minMax"/>
        </c:scaling>
        <c:delete val="0"/>
        <c:axPos val="b"/>
        <c:numFmt formatCode="General" sourceLinked="0"/>
        <c:majorTickMark val="out"/>
        <c:minorTickMark val="none"/>
        <c:tickLblPos val="nextTo"/>
        <c:crossAx val="-1688888592"/>
        <c:crosses val="autoZero"/>
        <c:auto val="1"/>
        <c:lblAlgn val="ctr"/>
        <c:lblOffset val="100"/>
        <c:noMultiLvlLbl val="0"/>
      </c:catAx>
      <c:valAx>
        <c:axId val="-1688888592"/>
        <c:scaling>
          <c:orientation val="minMax"/>
        </c:scaling>
        <c:delete val="0"/>
        <c:axPos val="l"/>
        <c:majorGridlines>
          <c:spPr>
            <a:ln>
              <a:noFill/>
            </a:ln>
          </c:spPr>
        </c:majorGridlines>
        <c:numFmt formatCode="General" sourceLinked="1"/>
        <c:majorTickMark val="out"/>
        <c:minorTickMark val="none"/>
        <c:tickLblPos val="nextTo"/>
        <c:crossAx val="-1688897840"/>
        <c:crosses val="autoZero"/>
        <c:crossBetween val="between"/>
      </c:valAx>
    </c:plotArea>
    <c:legend>
      <c:legendPos val="r"/>
      <c:overlay val="0"/>
    </c:legend>
    <c:plotVisOnly val="1"/>
    <c:dispBlanksAs val="gap"/>
    <c:showDLblsOverMax val="0"/>
  </c:chart>
  <c:txPr>
    <a:bodyPr/>
    <a:lstStyle/>
    <a:p>
      <a:pPr>
        <a:defRPr b="1">
          <a:latin typeface="AcadNusx" pitchFamily="2"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barZayis yelis motexiloba</c:v>
                </c:pt>
              </c:strCache>
            </c:strRef>
          </c:tx>
          <c:spPr>
            <a:solidFill>
              <a:srgbClr val="FF0000"/>
            </a:solidFill>
          </c:spPr>
          <c:invertIfNegative val="0"/>
          <c:cat>
            <c:strRef>
              <c:f>Sheet1!$A$2:$A$6</c:f>
              <c:strCache>
                <c:ptCount val="5"/>
                <c:pt idx="0">
                  <c:v>0-17w</c:v>
                </c:pt>
                <c:pt idx="1">
                  <c:v>18-25w</c:v>
                </c:pt>
                <c:pt idx="2">
                  <c:v>26-45w</c:v>
                </c:pt>
                <c:pt idx="3">
                  <c:v>46-65w</c:v>
                </c:pt>
                <c:pt idx="4">
                  <c:v>66-95w</c:v>
                </c:pt>
              </c:strCache>
            </c:strRef>
          </c:cat>
          <c:val>
            <c:numRef>
              <c:f>Sheet1!$B$2:$B$6</c:f>
              <c:numCache>
                <c:formatCode>General</c:formatCode>
                <c:ptCount val="5"/>
                <c:pt idx="0">
                  <c:v>54</c:v>
                </c:pt>
                <c:pt idx="1">
                  <c:v>17</c:v>
                </c:pt>
                <c:pt idx="2">
                  <c:v>71</c:v>
                </c:pt>
                <c:pt idx="3">
                  <c:v>211</c:v>
                </c:pt>
                <c:pt idx="4">
                  <c:v>471</c:v>
                </c:pt>
              </c:numCache>
            </c:numRef>
          </c:val>
        </c:ser>
        <c:ser>
          <c:idx val="1"/>
          <c:order val="1"/>
          <c:tx>
            <c:strRef>
              <c:f>Sheet1!$C$1</c:f>
              <c:strCache>
                <c:ptCount val="1"/>
                <c:pt idx="0">
                  <c:v>vertebraluri motexilobebi</c:v>
                </c:pt>
              </c:strCache>
            </c:strRef>
          </c:tx>
          <c:spPr>
            <a:solidFill>
              <a:srgbClr val="00B050"/>
            </a:solidFill>
          </c:spPr>
          <c:invertIfNegative val="0"/>
          <c:cat>
            <c:strRef>
              <c:f>Sheet1!$A$2:$A$6</c:f>
              <c:strCache>
                <c:ptCount val="5"/>
                <c:pt idx="0">
                  <c:v>0-17w</c:v>
                </c:pt>
                <c:pt idx="1">
                  <c:v>18-25w</c:v>
                </c:pt>
                <c:pt idx="2">
                  <c:v>26-45w</c:v>
                </c:pt>
                <c:pt idx="3">
                  <c:v>46-65w</c:v>
                </c:pt>
                <c:pt idx="4">
                  <c:v>66-95w</c:v>
                </c:pt>
              </c:strCache>
            </c:strRef>
          </c:cat>
          <c:val>
            <c:numRef>
              <c:f>Sheet1!$C$2:$C$6</c:f>
              <c:numCache>
                <c:formatCode>General</c:formatCode>
                <c:ptCount val="5"/>
                <c:pt idx="0">
                  <c:v>2</c:v>
                </c:pt>
                <c:pt idx="1">
                  <c:v>4</c:v>
                </c:pt>
                <c:pt idx="2">
                  <c:v>36</c:v>
                </c:pt>
                <c:pt idx="3">
                  <c:v>37</c:v>
                </c:pt>
                <c:pt idx="4">
                  <c:v>11</c:v>
                </c:pt>
              </c:numCache>
            </c:numRef>
          </c:val>
        </c:ser>
        <c:ser>
          <c:idx val="2"/>
          <c:order val="2"/>
          <c:tx>
            <c:strRef>
              <c:f>Sheet1!$D$1</c:f>
              <c:strCache>
                <c:ptCount val="1"/>
                <c:pt idx="0">
                  <c:v>Series 3</c:v>
                </c:pt>
              </c:strCache>
            </c:strRef>
          </c:tx>
          <c:invertIfNegative val="0"/>
          <c:cat>
            <c:strRef>
              <c:f>Sheet1!$A$2:$A$6</c:f>
              <c:strCache>
                <c:ptCount val="5"/>
                <c:pt idx="0">
                  <c:v>0-17w</c:v>
                </c:pt>
                <c:pt idx="1">
                  <c:v>18-25w</c:v>
                </c:pt>
                <c:pt idx="2">
                  <c:v>26-45w</c:v>
                </c:pt>
                <c:pt idx="3">
                  <c:v>46-65w</c:v>
                </c:pt>
                <c:pt idx="4">
                  <c:v>66-95w</c:v>
                </c:pt>
              </c:strCache>
            </c:strRef>
          </c:cat>
          <c:val>
            <c:numRef>
              <c:f>Sheet1!$D$2:$D$6</c:f>
            </c:numRef>
          </c:val>
        </c:ser>
        <c:ser>
          <c:idx val="3"/>
          <c:order val="3"/>
          <c:tx>
            <c:strRef>
              <c:f>Sheet1!$E$1</c:f>
              <c:strCache>
                <c:ptCount val="1"/>
                <c:pt idx="0">
                  <c:v>wvivis Zvlis motexiloba</c:v>
                </c:pt>
              </c:strCache>
            </c:strRef>
          </c:tx>
          <c:spPr>
            <a:solidFill>
              <a:srgbClr val="7030A0"/>
            </a:solidFill>
          </c:spPr>
          <c:invertIfNegative val="0"/>
          <c:cat>
            <c:strRef>
              <c:f>Sheet1!$A$2:$A$6</c:f>
              <c:strCache>
                <c:ptCount val="5"/>
                <c:pt idx="0">
                  <c:v>0-17w</c:v>
                </c:pt>
                <c:pt idx="1">
                  <c:v>18-25w</c:v>
                </c:pt>
                <c:pt idx="2">
                  <c:v>26-45w</c:v>
                </c:pt>
                <c:pt idx="3">
                  <c:v>46-65w</c:v>
                </c:pt>
                <c:pt idx="4">
                  <c:v>66-95w</c:v>
                </c:pt>
              </c:strCache>
            </c:strRef>
          </c:cat>
          <c:val>
            <c:numRef>
              <c:f>Sheet1!$E$2:$E$6</c:f>
              <c:numCache>
                <c:formatCode>General</c:formatCode>
                <c:ptCount val="5"/>
                <c:pt idx="0">
                  <c:v>7</c:v>
                </c:pt>
                <c:pt idx="1">
                  <c:v>7</c:v>
                </c:pt>
                <c:pt idx="2">
                  <c:v>25</c:v>
                </c:pt>
                <c:pt idx="3">
                  <c:v>22</c:v>
                </c:pt>
                <c:pt idx="4">
                  <c:v>6</c:v>
                </c:pt>
              </c:numCache>
            </c:numRef>
          </c:val>
        </c:ser>
        <c:ser>
          <c:idx val="4"/>
          <c:order val="4"/>
          <c:tx>
            <c:strRef>
              <c:f>Sheet1!$F$1</c:f>
              <c:strCache>
                <c:ptCount val="1"/>
                <c:pt idx="0">
                  <c:v>sxva motexilobebi</c:v>
                </c:pt>
              </c:strCache>
            </c:strRef>
          </c:tx>
          <c:invertIfNegative val="0"/>
          <c:cat>
            <c:strRef>
              <c:f>Sheet1!$A$2:$A$6</c:f>
              <c:strCache>
                <c:ptCount val="5"/>
                <c:pt idx="0">
                  <c:v>0-17w</c:v>
                </c:pt>
                <c:pt idx="1">
                  <c:v>18-25w</c:v>
                </c:pt>
                <c:pt idx="2">
                  <c:v>26-45w</c:v>
                </c:pt>
                <c:pt idx="3">
                  <c:v>46-65w</c:v>
                </c:pt>
                <c:pt idx="4">
                  <c:v>66-95w</c:v>
                </c:pt>
              </c:strCache>
            </c:strRef>
          </c:cat>
          <c:val>
            <c:numRef>
              <c:f>Sheet1!$F$2:$F$6</c:f>
              <c:numCache>
                <c:formatCode>General</c:formatCode>
                <c:ptCount val="5"/>
                <c:pt idx="0">
                  <c:v>1787</c:v>
                </c:pt>
                <c:pt idx="1">
                  <c:v>1027</c:v>
                </c:pt>
                <c:pt idx="2">
                  <c:v>2141</c:v>
                </c:pt>
                <c:pt idx="3">
                  <c:v>1589</c:v>
                </c:pt>
                <c:pt idx="4">
                  <c:v>700</c:v>
                </c:pt>
              </c:numCache>
            </c:numRef>
          </c:val>
        </c:ser>
        <c:dLbls>
          <c:showLegendKey val="0"/>
          <c:showVal val="0"/>
          <c:showCatName val="0"/>
          <c:showSerName val="0"/>
          <c:showPercent val="0"/>
          <c:showBubbleSize val="0"/>
        </c:dLbls>
        <c:gapWidth val="150"/>
        <c:axId val="-1688887504"/>
        <c:axId val="-1688886960"/>
      </c:barChart>
      <c:catAx>
        <c:axId val="-1688887504"/>
        <c:scaling>
          <c:orientation val="minMax"/>
        </c:scaling>
        <c:delete val="0"/>
        <c:axPos val="b"/>
        <c:numFmt formatCode="General" sourceLinked="0"/>
        <c:majorTickMark val="out"/>
        <c:minorTickMark val="none"/>
        <c:tickLblPos val="nextTo"/>
        <c:crossAx val="-1688886960"/>
        <c:crosses val="autoZero"/>
        <c:auto val="1"/>
        <c:lblAlgn val="ctr"/>
        <c:lblOffset val="100"/>
        <c:noMultiLvlLbl val="0"/>
      </c:catAx>
      <c:valAx>
        <c:axId val="-1688886960"/>
        <c:scaling>
          <c:orientation val="minMax"/>
        </c:scaling>
        <c:delete val="0"/>
        <c:axPos val="l"/>
        <c:majorGridlines>
          <c:spPr>
            <a:ln>
              <a:noFill/>
            </a:ln>
          </c:spPr>
        </c:majorGridlines>
        <c:numFmt formatCode="General" sourceLinked="1"/>
        <c:majorTickMark val="out"/>
        <c:minorTickMark val="none"/>
        <c:tickLblPos val="nextTo"/>
        <c:crossAx val="-1688887504"/>
        <c:crosses val="autoZero"/>
        <c:crossBetween val="between"/>
      </c:valAx>
    </c:plotArea>
    <c:legend>
      <c:legendPos val="r"/>
      <c:overlay val="0"/>
    </c:legend>
    <c:plotVisOnly val="1"/>
    <c:dispBlanksAs val="gap"/>
    <c:showDLblsOverMax val="0"/>
  </c:chart>
  <c:txPr>
    <a:bodyPr/>
    <a:lstStyle/>
    <a:p>
      <a:pPr>
        <a:defRPr b="1">
          <a:latin typeface="AcadNusx" pitchFamily="2"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33ECA-30BA-4312-A100-BD06ACA9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Chachava</dc:creator>
  <cp:keywords/>
  <dc:description/>
  <cp:lastModifiedBy>Iulia Zedgenidze</cp:lastModifiedBy>
  <cp:revision>13</cp:revision>
  <cp:lastPrinted>2020-02-06T09:17:00Z</cp:lastPrinted>
  <dcterms:created xsi:type="dcterms:W3CDTF">2020-02-10T10:59:00Z</dcterms:created>
  <dcterms:modified xsi:type="dcterms:W3CDTF">2020-02-12T10:57:00Z</dcterms:modified>
</cp:coreProperties>
</file>